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Business</w:t>
      </w:r>
      <w:r>
        <w:t xml:space="preserve"> </w:t>
      </w:r>
      <w:r>
        <w:t xml:space="preserve">Consultant</w:t>
      </w:r>
      <w:r>
        <w:t xml:space="preserve"> </w:t>
      </w:r>
      <w:r>
        <w:t xml:space="preserve">Efficacy</w:t>
      </w:r>
      <w:r>
        <w:t xml:space="preserve"> </w:t>
      </w:r>
      <w:r>
        <w:t xml:space="preserve">in</w:t>
      </w:r>
      <w:r>
        <w:t xml:space="preserve"> </w:t>
      </w:r>
      <w:r>
        <w:t xml:space="preserve">Singapore</w:t>
      </w:r>
    </w:p>
    <w:p>
      <w:pPr>
        <w:pStyle w:val="FirstParagraph"/>
      </w:pPr>
      <w:r>
        <w:rPr>
          <w:bCs/>
          <w:b/>
        </w:rPr>
        <w:t xml:space="preserve">Document ID:</w:t>
      </w:r>
      <w:r>
        <w:t xml:space="preserve"> </w:t>
      </w:r>
      <w:r>
        <w:t xml:space="preserve">EXP-PROT-SG-BC-2023-001</w:t>
      </w:r>
    </w:p>
    <w:p>
      <w:pPr>
        <w:pStyle w:val="BodyText"/>
      </w:pPr>
      <w:r>
        <w:rPr>
          <w:bCs/>
          <w:b/>
        </w:rPr>
        <w:t xml:space="preserve">Date:</w:t>
      </w:r>
      <w:r>
        <w:t xml:space="preserve"> </w:t>
      </w:r>
      <w:r>
        <w:t xml:space="preserve">October 24, 2023</w:t>
      </w:r>
    </w:p>
    <w:p>
      <w:pPr>
        <w:pStyle w:val="BodyText"/>
      </w:pPr>
      <w:r>
        <w:rPr>
          <w:bCs/>
          <w:b/>
        </w:rPr>
        <w:t xml:space="preserve">Location:</w:t>
      </w:r>
      <w:r>
        <w:t xml:space="preserve"> </w:t>
      </w:r>
      <w:r>
        <w:t xml:space="preserve">Singapore Singapore</w:t>
      </w:r>
    </w:p>
    <w:p>
      <w:pPr>
        <w:pStyle w:val="BodyText"/>
      </w:pPr>
      <w:r>
        <w:rPr>
          <w:bCs/>
          <w:b/>
        </w:rPr>
        <w:t xml:space="preserve">Subject:</w:t>
      </w:r>
      <w:r>
        <w:t xml:space="preserve"> </w:t>
      </w:r>
      <w:r>
        <w:t xml:space="preserve">Experiment Protocol for Business Consultant Performance Evaluation</w:t>
      </w:r>
    </w:p>
    <w:bookmarkStart w:id="31" w:name="X6a8264373ee505ae50c87a47cc3e2f4d8b30b01"/>
    <w:p>
      <w:pPr>
        <w:pStyle w:val="Heading1"/>
      </w:pPr>
      <w:r>
        <w:t xml:space="preserve">Experiment Protocol: Business Consultant Efficacy in Singapore</w:t>
      </w:r>
    </w:p>
    <w:bookmarkStart w:id="20" w:name="introduction-and-background"/>
    <w:p>
      <w:pPr>
        <w:pStyle w:val="Heading2"/>
      </w:pPr>
      <w:r>
        <w:t xml:space="preserve">1. Introduction and Background</w:t>
      </w:r>
    </w:p>
    <w:p>
      <w:pPr>
        <w:pStyle w:val="FirstParagraph"/>
      </w:pPr>
      <w:r>
        <w:t xml:space="preserve">This Experiment Protocol outlines the methodology for assessing the impact of external Business Consultant engagement on Small and Medium Enterprises (SMEs) operating within the jurisdiction of Singapore Singapore. As Singapore Singapore continues to position itself as a global hub for innovation and trade, the demand for specialized advisory services has surged. However, empirical data regarding the tangible return on investment (ROI) provided by Business Consultant roles remains fragmented.</w:t>
      </w:r>
    </w:p>
    <w:p>
      <w:pPr>
        <w:pStyle w:val="BodyText"/>
      </w:pPr>
      <w:r>
        <w:t xml:space="preserve">This experiment aims to quantify the value added by a Business Consultant in navigating the complex regulatory, cultural, and economic landscape of Singapore Singapore. The protocol is designed to be rigorous, replicable, and compliant with local data protection standards.</w:t>
      </w:r>
    </w:p>
    <w:bookmarkEnd w:id="20"/>
    <w:bookmarkStart w:id="21"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measure the operational efficiency improvements attributable to the intervention of a Business Consultant.</w:t>
      </w:r>
    </w:p>
    <w:p>
      <w:pPr>
        <w:numPr>
          <w:ilvl w:val="0"/>
          <w:numId w:val="1001"/>
        </w:numPr>
        <w:pStyle w:val="Compact"/>
      </w:pPr>
      <w:r>
        <w:t xml:space="preserve">To evaluate the strategic alignment of Business Consultant recommendations with the specific market dynamics of Singapore Singapore.</w:t>
      </w:r>
    </w:p>
    <w:p>
      <w:pPr>
        <w:numPr>
          <w:ilvl w:val="0"/>
          <w:numId w:val="1001"/>
        </w:numPr>
        <w:pStyle w:val="Compact"/>
      </w:pPr>
      <w:r>
        <w:t xml:space="preserve">To determine the cost-benefit ratio of hiring a Business Consultant versus internal management for SMEs in Singapore Singapore.</w:t>
      </w:r>
    </w:p>
    <w:p>
      <w:pPr>
        <w:numPr>
          <w:ilvl w:val="0"/>
          <w:numId w:val="1001"/>
        </w:numPr>
        <w:pStyle w:val="Compact"/>
      </w:pPr>
      <w:r>
        <w:t xml:space="preserve">To assess the impact of Business Consultant guidance on regulatory compliance and risk mitigation within the Singapore Singapore legal framework.</w:t>
      </w:r>
    </w:p>
    <w:bookmarkEnd w:id="21"/>
    <w:bookmarkStart w:id="25" w:name="methodology"/>
    <w:p>
      <w:pPr>
        <w:pStyle w:val="Heading2"/>
      </w:pPr>
      <w:r>
        <w:t xml:space="preserve">3. Methodology</w:t>
      </w:r>
    </w:p>
    <w:bookmarkStart w:id="22" w:name="study-design"/>
    <w:p>
      <w:pPr>
        <w:pStyle w:val="Heading3"/>
      </w:pPr>
      <w:r>
        <w:t xml:space="preserve">3.1 Study Design</w:t>
      </w:r>
    </w:p>
    <w:p>
      <w:pPr>
        <w:pStyle w:val="FirstParagraph"/>
      </w:pPr>
      <w:r>
        <w:t xml:space="preserve">This experiment will utilize a randomized controlled trial (RCT) design. A cohort of 50 SMEs in Singapore Singapore will be selected. These entities will be randomly assigned to two groups:</w:t>
      </w:r>
    </w:p>
    <w:p>
      <w:pPr>
        <w:numPr>
          <w:ilvl w:val="0"/>
          <w:numId w:val="1002"/>
        </w:numPr>
        <w:pStyle w:val="Compact"/>
      </w:pPr>
      <w:r>
        <w:rPr>
          <w:bCs/>
          <w:b/>
        </w:rPr>
        <w:t xml:space="preserve">Control Group:</w:t>
      </w:r>
      <w:r>
        <w:t xml:space="preserve"> </w:t>
      </w:r>
      <w:r>
        <w:t xml:space="preserve">25 SMEs that will operate using existing internal management structures without external Business Consultant support.</w:t>
      </w:r>
    </w:p>
    <w:p>
      <w:pPr>
        <w:numPr>
          <w:ilvl w:val="0"/>
          <w:numId w:val="1002"/>
        </w:numPr>
        <w:pStyle w:val="Compact"/>
      </w:pPr>
      <w:r>
        <w:rPr>
          <w:bCs/>
          <w:b/>
        </w:rPr>
        <w:t xml:space="preserve">Treatment Group:</w:t>
      </w:r>
      <w:r>
        <w:t xml:space="preserve"> </w:t>
      </w:r>
      <w:r>
        <w:t xml:space="preserve">25 SMEs that will engage a certified Business Consultant for a period of six months.</w:t>
      </w:r>
    </w:p>
    <w:bookmarkEnd w:id="22"/>
    <w:bookmarkStart w:id="23" w:name="participant-selection-criteria"/>
    <w:p>
      <w:pPr>
        <w:pStyle w:val="Heading3"/>
      </w:pPr>
      <w:r>
        <w:t xml:space="preserve">3.2 Participant Selection Criteria</w:t>
      </w:r>
    </w:p>
    <w:p>
      <w:pPr>
        <w:pStyle w:val="FirstParagraph"/>
      </w:pPr>
      <w:r>
        <w:t xml:space="preserve">To ensure the validity of the results within the context of Singapore Singapore, participants must meet the following criteria:</w:t>
      </w:r>
    </w:p>
    <w:p>
      <w:pPr>
        <w:numPr>
          <w:ilvl w:val="0"/>
          <w:numId w:val="1003"/>
        </w:numPr>
        <w:pStyle w:val="Compact"/>
      </w:pPr>
      <w:r>
        <w:t xml:space="preserve">Registered as a private limited company in Singapore Singapore.</w:t>
      </w:r>
    </w:p>
    <w:p>
      <w:pPr>
        <w:numPr>
          <w:ilvl w:val="0"/>
          <w:numId w:val="1003"/>
        </w:numPr>
        <w:pStyle w:val="Compact"/>
      </w:pPr>
      <w:r>
        <w:t xml:space="preserve">Employing between 10 and 100 staff members.</w:t>
      </w:r>
    </w:p>
    <w:p>
      <w:pPr>
        <w:numPr>
          <w:ilvl w:val="0"/>
          <w:numId w:val="1003"/>
        </w:numPr>
        <w:pStyle w:val="Compact"/>
      </w:pPr>
      <w:r>
        <w:t xml:space="preserve">Operating in the technology, finance, or logistics sectors.</w:t>
      </w:r>
    </w:p>
    <w:p>
      <w:pPr>
        <w:numPr>
          <w:ilvl w:val="0"/>
          <w:numId w:val="1003"/>
        </w:numPr>
        <w:pStyle w:val="Compact"/>
      </w:pPr>
      <w:r>
        <w:t xml:space="preserve">No prior engagement with a Business Consultant in the last 24 months.</w:t>
      </w:r>
    </w:p>
    <w:bookmarkEnd w:id="23"/>
    <w:bookmarkStart w:id="24" w:name="the-business-consultant-role"/>
    <w:p>
      <w:pPr>
        <w:pStyle w:val="Heading3"/>
      </w:pPr>
      <w:r>
        <w:t xml:space="preserve">3.3 The Business Consultant Role</w:t>
      </w:r>
    </w:p>
    <w:p>
      <w:pPr>
        <w:pStyle w:val="FirstParagraph"/>
      </w:pPr>
      <w:r>
        <w:t xml:space="preserve">The Business Consultant assigned to the Treatment Group must possess specific expertise relevant to Singapore Singapore. Their mandate includes:</w:t>
      </w:r>
    </w:p>
    <w:p>
      <w:pPr>
        <w:numPr>
          <w:ilvl w:val="0"/>
          <w:numId w:val="1004"/>
        </w:numPr>
        <w:pStyle w:val="Compact"/>
      </w:pPr>
      <w:r>
        <w:t xml:space="preserve">Conducting a comprehensive audit of current business processes.</w:t>
      </w:r>
    </w:p>
    <w:p>
      <w:pPr>
        <w:numPr>
          <w:ilvl w:val="0"/>
          <w:numId w:val="1004"/>
        </w:numPr>
        <w:pStyle w:val="Compact"/>
      </w:pPr>
      <w:r>
        <w:t xml:space="preserve">Developing strategies to leverage government grants and incentives available in Singapore Singapore.</w:t>
      </w:r>
    </w:p>
    <w:p>
      <w:pPr>
        <w:numPr>
          <w:ilvl w:val="0"/>
          <w:numId w:val="1004"/>
        </w:numPr>
        <w:pStyle w:val="Compact"/>
      </w:pPr>
      <w:r>
        <w:t xml:space="preserve">Optimizing supply chain logistics specific to the Singapore Singapore port and aviation infrastructure.</w:t>
      </w:r>
    </w:p>
    <w:p>
      <w:pPr>
        <w:numPr>
          <w:ilvl w:val="0"/>
          <w:numId w:val="1004"/>
        </w:numPr>
        <w:pStyle w:val="Compact"/>
      </w:pPr>
      <w:r>
        <w:t xml:space="preserve">Ensuring compliance with the Personal Data Protection Act (PDPA) of Singapore Singapore.</w:t>
      </w:r>
    </w:p>
    <w:bookmarkEnd w:id="24"/>
    <w:bookmarkEnd w:id="25"/>
    <w:bookmarkStart w:id="26" w:name="data-collection-and-metrics"/>
    <w:p>
      <w:pPr>
        <w:pStyle w:val="Heading2"/>
      </w:pPr>
      <w:r>
        <w:t xml:space="preserve">4. Data Collection and Metrics</w:t>
      </w:r>
    </w:p>
    <w:p>
      <w:pPr>
        <w:pStyle w:val="FirstParagraph"/>
      </w:pPr>
      <w:r>
        <w:t xml:space="preserve">Data will be collected at three intervals: Baseline (T0), Mid-term (T1), and Post-intervention (T2). The following Key Performance Indicators (KPIs) will be tracked:</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Metric Category</w:t>
            </w:r>
          </w:p>
        </w:tc>
        <w:tc>
          <w:tcPr/>
          <w:p>
            <w:pPr>
              <w:pStyle w:val="Compact"/>
              <w:jc w:val="left"/>
            </w:pPr>
            <w:r>
              <w:t xml:space="preserve">Specific Indicator</w:t>
            </w:r>
          </w:p>
        </w:tc>
        <w:tc>
          <w:tcPr/>
          <w:p>
            <w:pPr>
              <w:pStyle w:val="Compact"/>
              <w:jc w:val="left"/>
            </w:pPr>
            <w:r>
              <w:t xml:space="preserve">Measurement Method</w:t>
            </w:r>
          </w:p>
        </w:tc>
      </w:tr>
      <w:tr>
        <w:tc>
          <w:tcPr/>
          <w:p>
            <w:pPr>
              <w:pStyle w:val="Compact"/>
              <w:jc w:val="left"/>
            </w:pPr>
            <w:r>
              <w:t xml:space="preserve">Financial Performance</w:t>
            </w:r>
          </w:p>
        </w:tc>
        <w:tc>
          <w:tcPr/>
          <w:p>
            <w:pPr>
              <w:pStyle w:val="Compact"/>
              <w:jc w:val="left"/>
            </w:pPr>
            <w:r>
              <w:t xml:space="preserve">Revenue Growth Rate</w:t>
            </w:r>
          </w:p>
        </w:tc>
        <w:tc>
          <w:tcPr/>
          <w:p>
            <w:pPr>
              <w:pStyle w:val="Compact"/>
              <w:jc w:val="left"/>
            </w:pPr>
            <w:r>
              <w:t xml:space="preserve">Quarterly financial statements</w:t>
            </w:r>
          </w:p>
        </w:tc>
      </w:tr>
      <w:tr>
        <w:tc>
          <w:tcPr/>
          <w:p>
            <w:pPr>
              <w:pStyle w:val="Compact"/>
              <w:jc w:val="left"/>
            </w:pPr>
            <w:r>
              <w:t xml:space="preserve">Operational Efficiency</w:t>
            </w:r>
          </w:p>
        </w:tc>
        <w:tc>
          <w:tcPr/>
          <w:p>
            <w:pPr>
              <w:pStyle w:val="Compact"/>
              <w:jc w:val="left"/>
            </w:pPr>
            <w:r>
              <w:t xml:space="preserve">Process Cycle Time Reduction</w:t>
            </w:r>
          </w:p>
        </w:tc>
        <w:tc>
          <w:tcPr/>
          <w:p>
            <w:pPr>
              <w:pStyle w:val="Compact"/>
              <w:jc w:val="left"/>
            </w:pPr>
            <w:r>
              <w:t xml:space="preserve">Internal workflow logs</w:t>
            </w:r>
          </w:p>
        </w:tc>
      </w:tr>
      <w:tr>
        <w:tc>
          <w:tcPr/>
          <w:p>
            <w:pPr>
              <w:pStyle w:val="Compact"/>
              <w:jc w:val="left"/>
            </w:pPr>
            <w:r>
              <w:t xml:space="preserve">Market Adaptation</w:t>
            </w:r>
          </w:p>
        </w:tc>
        <w:tc>
          <w:tcPr/>
          <w:p>
            <w:pPr>
              <w:pStyle w:val="Compact"/>
              <w:jc w:val="left"/>
            </w:pPr>
            <w:r>
              <w:t xml:space="preserve">Market Share in Singapore Singapore</w:t>
            </w:r>
          </w:p>
        </w:tc>
        <w:tc>
          <w:tcPr/>
          <w:p>
            <w:pPr>
              <w:pStyle w:val="Compact"/>
              <w:jc w:val="left"/>
            </w:pPr>
            <w:r>
              <w:t xml:space="preserve">Industry reports and sales data</w:t>
            </w:r>
          </w:p>
        </w:tc>
      </w:tr>
      <w:tr>
        <w:tc>
          <w:tcPr/>
          <w:p>
            <w:pPr>
              <w:pStyle w:val="Compact"/>
              <w:jc w:val="left"/>
            </w:pPr>
            <w:r>
              <w:t xml:space="preserve">Compliance</w:t>
            </w:r>
          </w:p>
        </w:tc>
        <w:tc>
          <w:tcPr/>
          <w:p>
            <w:pPr>
              <w:pStyle w:val="Compact"/>
              <w:jc w:val="left"/>
            </w:pPr>
            <w:r>
              <w:t xml:space="preserve">Regulatory Infractions</w:t>
            </w:r>
          </w:p>
        </w:tc>
        <w:tc>
          <w:tcPr/>
          <w:p>
            <w:pPr>
              <w:pStyle w:val="Compact"/>
              <w:jc w:val="left"/>
            </w:pPr>
            <w:r>
              <w:t xml:space="preserve">Official records from Singapore Singapore authorities</w:t>
            </w:r>
          </w:p>
        </w:tc>
      </w:tr>
    </w:tbl>
    <w:bookmarkEnd w:id="26"/>
    <w:bookmarkStart w:id="27" w:name="ethical-considerations-and-compliance"/>
    <w:p>
      <w:pPr>
        <w:pStyle w:val="Heading2"/>
      </w:pPr>
      <w:r>
        <w:t xml:space="preserve">5. Ethical Considerations and Compliance</w:t>
      </w:r>
    </w:p>
    <w:p>
      <w:pPr>
        <w:pStyle w:val="FirstParagraph"/>
      </w:pPr>
      <w:r>
        <w:t xml:space="preserve">This Experiment Protocol adheres strictly to the ethical guidelines set forth by the National Research Foundation of Singapore Singapore. All participating SMEs will provide informed consent. Data privacy will be maintained in accordance with the Personal Data Protection Act (PDPA) of Singapore Singapore. No personally identifiable information of employees will be disclosed without explicit permission.</w:t>
      </w:r>
    </w:p>
    <w:p>
      <w:pPr>
        <w:pStyle w:val="BodyText"/>
      </w:pPr>
      <w:r>
        <w:t xml:space="preserve">The Business Consultant acting in this experiment must disclose any potential conflicts of interest, particularly regarding relationships with government bodies or competitors in Singapore Singapore.</w:t>
      </w:r>
    </w:p>
    <w:bookmarkEnd w:id="27"/>
    <w:bookmarkStart w:id="28" w:name="timeline"/>
    <w:p>
      <w:pPr>
        <w:pStyle w:val="Heading2"/>
      </w:pPr>
      <w:r>
        <w:t xml:space="preserve">6. Timeline</w:t>
      </w:r>
    </w:p>
    <w:p>
      <w:pPr>
        <w:numPr>
          <w:ilvl w:val="0"/>
          <w:numId w:val="1005"/>
        </w:numPr>
        <w:pStyle w:val="Compact"/>
      </w:pPr>
      <w:r>
        <w:rPr>
          <w:bCs/>
          <w:b/>
        </w:rPr>
        <w:t xml:space="preserve">Month 1:</w:t>
      </w:r>
      <w:r>
        <w:t xml:space="preserve"> </w:t>
      </w:r>
      <w:r>
        <w:t xml:space="preserve">Recruitment of SMEs in Singapore Singapore and baseline data collection.</w:t>
      </w:r>
    </w:p>
    <w:p>
      <w:pPr>
        <w:numPr>
          <w:ilvl w:val="0"/>
          <w:numId w:val="1005"/>
        </w:numPr>
        <w:pStyle w:val="Compact"/>
      </w:pPr>
      <w:r>
        <w:rPr>
          <w:bCs/>
          <w:b/>
        </w:rPr>
        <w:t xml:space="preserve">Month 2-7:</w:t>
      </w:r>
      <w:r>
        <w:t xml:space="preserve"> </w:t>
      </w:r>
      <w:r>
        <w:t xml:space="preserve">Implementation phase where the Business Consultant engages with the Treatment Group.</w:t>
      </w:r>
    </w:p>
    <w:p>
      <w:pPr>
        <w:numPr>
          <w:ilvl w:val="0"/>
          <w:numId w:val="1005"/>
        </w:numPr>
        <w:pStyle w:val="Compact"/>
      </w:pPr>
      <w:r>
        <w:rPr>
          <w:bCs/>
          <w:b/>
        </w:rPr>
        <w:t xml:space="preserve">Month 4:</w:t>
      </w:r>
      <w:r>
        <w:t xml:space="preserve"> </w:t>
      </w:r>
      <w:r>
        <w:t xml:space="preserve">Mid-term review and data collection (T1).</w:t>
      </w:r>
    </w:p>
    <w:p>
      <w:pPr>
        <w:numPr>
          <w:ilvl w:val="0"/>
          <w:numId w:val="1005"/>
        </w:numPr>
        <w:pStyle w:val="Compact"/>
      </w:pPr>
      <w:r>
        <w:rPr>
          <w:bCs/>
          <w:b/>
        </w:rPr>
        <w:t xml:space="preserve">Month 8:</w:t>
      </w:r>
      <w:r>
        <w:t xml:space="preserve"> </w:t>
      </w:r>
      <w:r>
        <w:t xml:space="preserve">Final data collection (T2) and analysis.</w:t>
      </w:r>
    </w:p>
    <w:p>
      <w:pPr>
        <w:numPr>
          <w:ilvl w:val="0"/>
          <w:numId w:val="1005"/>
        </w:numPr>
        <w:pStyle w:val="Compact"/>
      </w:pPr>
      <w:r>
        <w:rPr>
          <w:bCs/>
          <w:b/>
        </w:rPr>
        <w:t xml:space="preserve">Month 9:</w:t>
      </w:r>
      <w:r>
        <w:t xml:space="preserve"> </w:t>
      </w:r>
      <w:r>
        <w:t xml:space="preserve">Reporting and dissemination of findings.</w:t>
      </w:r>
    </w:p>
    <w:bookmarkEnd w:id="28"/>
    <w:bookmarkStart w:id="29" w:name="risk-management"/>
    <w:p>
      <w:pPr>
        <w:pStyle w:val="Heading2"/>
      </w:pPr>
      <w:r>
        <w:t xml:space="preserve">7. Risk Management</w:t>
      </w:r>
    </w:p>
    <w:p>
      <w:pPr>
        <w:pStyle w:val="FirstParagraph"/>
      </w:pPr>
      <w:r>
        <w:t xml:space="preserve">Potential risks include the disruption of normal business operations due to the presence of the Business Consultant. To mitigate this, the Business Consultant will operate with minimal intrusion, focusing on advisory roles rather than direct management. Additionally, economic fluctuations in Singapore Singapore may impact results; therefore, macroeconomic indicators will be monitored and controlled for in the statistical analysis.</w:t>
      </w:r>
    </w:p>
    <w:bookmarkEnd w:id="29"/>
    <w:bookmarkStart w:id="30" w:name="conclusion"/>
    <w:p>
      <w:pPr>
        <w:pStyle w:val="Heading2"/>
      </w:pPr>
      <w:r>
        <w:t xml:space="preserve">8. Conclusion</w:t>
      </w:r>
    </w:p>
    <w:p>
      <w:pPr>
        <w:pStyle w:val="FirstParagraph"/>
      </w:pPr>
      <w:r>
        <w:t xml:space="preserve">This Experiment Protocol provides a structured approach to evaluating the efficacy of a Business Consultant within the unique economic environment of Singapore Singapore. By following this protocol, stakeholders can gain actionable insights into the value proposition of external consultancy, ultimately fostering a more robust and efficient business ecosystem in Singapore Singapore.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Business Consultant Efficacy in Singapore</dc:title>
  <dc:creator/>
  <dc:language>en</dc:language>
  <cp:keywords/>
  <dcterms:created xsi:type="dcterms:W3CDTF">2026-10-10T10:01:23Z</dcterms:created>
  <dcterms:modified xsi:type="dcterms:W3CDTF">2026-10-10T10:01:23Z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