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Business</w:t>
      </w:r>
      <w:r>
        <w:t xml:space="preserve"> </w:t>
      </w:r>
      <w:r>
        <w:t xml:space="preserve">Consultant</w:t>
      </w:r>
      <w:r>
        <w:t xml:space="preserve"> </w:t>
      </w:r>
      <w:r>
        <w:t xml:space="preserve">Efficacy</w:t>
      </w:r>
      <w:r>
        <w:t xml:space="preserve"> </w:t>
      </w:r>
      <w:r>
        <w:t xml:space="preserve">in</w:t>
      </w:r>
      <w:r>
        <w:t xml:space="preserve"> </w:t>
      </w:r>
      <w:r>
        <w:t xml:space="preserve">Cape</w:t>
      </w:r>
      <w:r>
        <w:t xml:space="preserve"> </w:t>
      </w:r>
      <w:r>
        <w:t xml:space="preserve">Town</w:t>
      </w:r>
    </w:p>
    <w:bookmarkStart w:id="20" w:name="X01544ec34cd3ae016e43e0b3ff053eca1dbb515"/>
    <w:p>
      <w:pPr>
        <w:pStyle w:val="Heading1"/>
      </w:pPr>
      <w:r>
        <w:t xml:space="preserve">Experiment Protocol: Impact of Business Consultant Interventions on SME Growth in South Africa Cape Town</w:t>
      </w:r>
    </w:p>
    <w:p>
      <w:pPr>
        <w:pStyle w:val="FirstParagraph"/>
      </w:pPr>
      <w:r>
        <w:rPr>
          <w:bCs/>
          <w:b/>
        </w:rPr>
        <w:t xml:space="preserve">Protocol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Cape Town, Western Cape, South Africa</w:t>
      </w:r>
      <w:r>
        <w:br/>
      </w:r>
      <w:r>
        <w:rPr>
          <w:bCs/>
          <w:b/>
        </w:rPr>
        <w:t xml:space="preserve">Principal Investigator:</w:t>
      </w:r>
      <w:r>
        <w:t xml:space="preserve"> </w:t>
      </w:r>
      <w:r>
        <w:t xml:space="preserve">[Name Redacted]</w:t>
      </w:r>
      <w:r>
        <w:br/>
      </w:r>
      <w:r>
        <w:rPr>
          <w:bCs/>
          <w:b/>
        </w:rPr>
        <w:t xml:space="preserve">Affiliation:</w:t>
      </w:r>
      <w:r>
        <w:t xml:space="preserve"> </w:t>
      </w:r>
      <w:r>
        <w:t xml:space="preserve">[Institution/Organization Name]</w:t>
      </w:r>
    </w:p>
    <w:bookmarkEnd w:id="20"/>
    <w:bookmarkStart w:id="21" w:name="introduction-and-background"/>
    <w:p>
      <w:pPr>
        <w:pStyle w:val="Heading2"/>
      </w:pPr>
      <w:r>
        <w:t xml:space="preserve">1. Introduction and Background</w:t>
      </w:r>
    </w:p>
    <w:p>
      <w:pPr>
        <w:pStyle w:val="FirstParagraph"/>
      </w:pPr>
      <w:r>
        <w:t xml:space="preserve">The economic landscape of</w:t>
      </w:r>
      <w:r>
        <w:t xml:space="preserve"> </w:t>
      </w:r>
      <w:r>
        <w:rPr>
          <w:bCs/>
          <w:b/>
        </w:rPr>
        <w:t xml:space="preserve">South Africa Cape Town</w:t>
      </w:r>
      <w:r>
        <w:t xml:space="preserve"> </w:t>
      </w:r>
      <w:r>
        <w:t xml:space="preserve">presents a unique environment characterized by high entrepreneurial activity juxtaposed with significant structural challenges, including skills shortages, regulatory complexity, and market volatility. Small and Medium Enterprises (SMEs) form the backbone of the local economy, yet many struggle to scale beyond the startup phase. The role of the</w:t>
      </w:r>
      <w:r>
        <w:t xml:space="preserve"> </w:t>
      </w:r>
      <w:r>
        <w:rPr>
          <w:bCs/>
          <w:b/>
        </w:rPr>
        <w:t xml:space="preserve">Business Consultant</w:t>
      </w:r>
      <w:r>
        <w:t xml:space="preserve"> </w:t>
      </w:r>
      <w:r>
        <w:t xml:space="preserve">is often cited as a critical factor in navigating these complexities, yet empirical evidence regarding the specific efficacy of consulting interventions in this geographic context remains fragmented.</w:t>
      </w:r>
    </w:p>
    <w:p>
      <w:pPr>
        <w:pStyle w:val="BodyText"/>
      </w:pPr>
      <w:r>
        <w:t xml:space="preserve">This</w:t>
      </w:r>
      <w:r>
        <w:t xml:space="preserve"> </w:t>
      </w:r>
      <w:r>
        <w:rPr>
          <w:bCs/>
          <w:b/>
        </w:rPr>
        <w:t xml:space="preserve">Experiment Protocol</w:t>
      </w:r>
      <w:r>
        <w:t xml:space="preserve"> </w:t>
      </w:r>
      <w:r>
        <w:t xml:space="preserve">outlines a rigorous methodology to evaluate the causal impact of structured business consulting on key performance indicators (KPIs) of SMEs operating in Cape Town. By isolating the variable of professional consulting advice, this study aims to provide data-driven insights into whether external expertise translates into measurable economic growth, operational efficiency, and sustainability within the Cape Town market.</w:t>
      </w:r>
    </w:p>
    <w:bookmarkEnd w:id="21"/>
    <w:bookmarkStart w:id="22" w:name="objectives"/>
    <w:p>
      <w:pPr>
        <w:pStyle w:val="Heading2"/>
      </w:pPr>
      <w:r>
        <w:t xml:space="preserve">2. Objectives</w:t>
      </w:r>
    </w:p>
    <w:p>
      <w:pPr>
        <w:pStyle w:val="FirstParagraph"/>
      </w:pPr>
      <w:r>
        <w:t xml:space="preserve">The primary objective of this experiment is to determine the effectiveness of a standardized</w:t>
      </w:r>
      <w:r>
        <w:t xml:space="preserve"> </w:t>
      </w:r>
      <w:r>
        <w:rPr>
          <w:bCs/>
          <w:b/>
        </w:rPr>
        <w:t xml:space="preserve">Business Consultant</w:t>
      </w:r>
      <w:r>
        <w:t xml:space="preserve"> </w:t>
      </w:r>
      <w:r>
        <w:t xml:space="preserve">engagement model on SME performance metrics over a six-month period. Specific objectives include:</w:t>
      </w:r>
    </w:p>
    <w:p>
      <w:pPr>
        <w:numPr>
          <w:ilvl w:val="0"/>
          <w:numId w:val="1001"/>
        </w:numPr>
        <w:pStyle w:val="Compact"/>
      </w:pPr>
      <w:r>
        <w:t xml:space="preserve">To quantify the impact of consulting on revenue growth and profit margins for SMEs in Cape Town.</w:t>
      </w:r>
    </w:p>
    <w:p>
      <w:pPr>
        <w:numPr>
          <w:ilvl w:val="0"/>
          <w:numId w:val="1001"/>
        </w:numPr>
        <w:pStyle w:val="Compact"/>
      </w:pPr>
      <w:r>
        <w:t xml:space="preserve">To assess improvements in operational processes and compliance with South African labor and tax regulations.</w:t>
      </w:r>
    </w:p>
    <w:p>
      <w:pPr>
        <w:numPr>
          <w:ilvl w:val="0"/>
          <w:numId w:val="1001"/>
        </w:numPr>
        <w:pStyle w:val="Compact"/>
      </w:pPr>
      <w:r>
        <w:t xml:space="preserve">To evaluate the long-term retention of strategic changes implemented by the consultant.</w:t>
      </w:r>
    </w:p>
    <w:p>
      <w:pPr>
        <w:numPr>
          <w:ilvl w:val="0"/>
          <w:numId w:val="1001"/>
        </w:numPr>
        <w:pStyle w:val="Compact"/>
      </w:pPr>
      <w:r>
        <w:t xml:space="preserve">To identify which specific consulting methodologies yield the highest return on investment (ROI) in the Cape Town context.</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utilize a Randomized Controlled Trial (RCT) design. This is considered the gold standard in experimental research for establishing causality. Participants will be randomly assigned to either the Treatment Group or the Control Group.</w:t>
      </w:r>
    </w:p>
    <w:p>
      <w:pPr>
        <w:pStyle w:val="BodyText"/>
      </w:pPr>
      <w:r>
        <w:rPr>
          <w:bCs/>
          <w:b/>
        </w:rPr>
        <w:t xml:space="preserve">Treatment Group:</w:t>
      </w:r>
      <w:r>
        <w:t xml:space="preserve"> </w:t>
      </w:r>
      <w:r>
        <w:t xml:space="preserve">SMEs that receive a structured 12-week intervention from a certified</w:t>
      </w:r>
      <w:r>
        <w:t xml:space="preserve"> </w:t>
      </w:r>
      <w:r>
        <w:rPr>
          <w:bCs/>
          <w:b/>
        </w:rPr>
        <w:t xml:space="preserve">Business Consultant</w:t>
      </w:r>
      <w:r>
        <w:t xml:space="preserve"> </w:t>
      </w:r>
      <w:r>
        <w:t xml:space="preserve">specializing in the South African market.</w:t>
      </w:r>
      <w:r>
        <w:br/>
      </w:r>
      <w:r>
        <w:rPr>
          <w:bCs/>
          <w:b/>
        </w:rPr>
        <w:t xml:space="preserve">Control Group:</w:t>
      </w:r>
      <w:r>
        <w:t xml:space="preserve"> </w:t>
      </w:r>
      <w:r>
        <w:t xml:space="preserve">SMEs that receive no external consulting intervention but are monitored for baseline performance changes.</w:t>
      </w:r>
    </w:p>
    <w:bookmarkEnd w:id="23"/>
    <w:bookmarkStart w:id="24" w:name="participant-selection-and-sampling"/>
    <w:p>
      <w:pPr>
        <w:pStyle w:val="Heading3"/>
      </w:pPr>
      <w:r>
        <w:t xml:space="preserve">3.2 Participant Selection and Sampling</w:t>
      </w:r>
    </w:p>
    <w:p>
      <w:pPr>
        <w:pStyle w:val="FirstParagraph"/>
      </w:pPr>
      <w:r>
        <w:t xml:space="preserve">The target population consists of registered SMEs operating within the City of Cape Town metropolitan area. To ensure relevance to the local economy, the sample will focus on sectors prevalent in Cape Town, including tourism, technology, creative industries, and retail.</w:t>
      </w:r>
    </w:p>
    <w:p>
      <w:pPr>
        <w:pStyle w:val="BodyText"/>
      </w:pPr>
      <w:r>
        <w:rPr>
          <w:bCs/>
          <w:b/>
        </w:rPr>
        <w:t xml:space="preserve">Inclusion Criteria:</w:t>
      </w:r>
    </w:p>
    <w:p>
      <w:pPr>
        <w:numPr>
          <w:ilvl w:val="0"/>
          <w:numId w:val="1002"/>
        </w:numPr>
        <w:pStyle w:val="Compact"/>
      </w:pPr>
      <w:r>
        <w:t xml:space="preserve">Registered as a legal entity in South Africa for at least 24 months.</w:t>
      </w:r>
    </w:p>
    <w:p>
      <w:pPr>
        <w:numPr>
          <w:ilvl w:val="0"/>
          <w:numId w:val="1002"/>
        </w:numPr>
        <w:pStyle w:val="Compact"/>
      </w:pPr>
      <w:r>
        <w:t xml:space="preserve">Annual turnover between ZAR 1 million and ZAR 50 million.</w:t>
      </w:r>
    </w:p>
    <w:p>
      <w:pPr>
        <w:numPr>
          <w:ilvl w:val="0"/>
          <w:numId w:val="1002"/>
        </w:numPr>
        <w:pStyle w:val="Compact"/>
      </w:pPr>
      <w:r>
        <w:t xml:space="preserve">Headquarters physically located in Cape Town.</w:t>
      </w:r>
    </w:p>
    <w:p>
      <w:pPr>
        <w:numPr>
          <w:ilvl w:val="0"/>
          <w:numId w:val="1002"/>
        </w:numPr>
        <w:pStyle w:val="Compact"/>
      </w:pPr>
      <w:r>
        <w:t xml:space="preserve">Willingness to share financial and operational data for the duration of the study.</w:t>
      </w:r>
    </w:p>
    <w:p>
      <w:pPr>
        <w:pStyle w:val="FirstParagraph"/>
      </w:pPr>
      <w:r>
        <w:rPr>
          <w:bCs/>
          <w:b/>
        </w:rPr>
        <w:t xml:space="preserve">Exclusion Criteria:</w:t>
      </w:r>
    </w:p>
    <w:p>
      <w:pPr>
        <w:numPr>
          <w:ilvl w:val="0"/>
          <w:numId w:val="1003"/>
        </w:numPr>
        <w:pStyle w:val="Compact"/>
      </w:pPr>
      <w:r>
        <w:t xml:space="preserve">Companies currently undergoing liquidation or insolvency proceedings.</w:t>
      </w:r>
    </w:p>
    <w:p>
      <w:pPr>
        <w:numPr>
          <w:ilvl w:val="0"/>
          <w:numId w:val="1003"/>
        </w:numPr>
        <w:pStyle w:val="Compact"/>
      </w:pPr>
      <w:r>
        <w:t xml:space="preserve">Entities that have engaged a full-time strategic consultant in the past 12 months.</w:t>
      </w:r>
    </w:p>
    <w:p>
      <w:pPr>
        <w:pStyle w:val="FirstParagraph"/>
      </w:pPr>
      <w:r>
        <w:t xml:space="preserve">A sample size of 100 SMEs (50 per group) will be recruited to ensure statistical power. Randomization will be stratified by industry sector to control for sector-specific economic fluctuations in Cape Town.</w:t>
      </w:r>
    </w:p>
    <w:bookmarkEnd w:id="24"/>
    <w:bookmarkStart w:id="25" w:name="X557fc5a6532e20b430afcc860844988c94073fd"/>
    <w:p>
      <w:pPr>
        <w:pStyle w:val="Heading3"/>
      </w:pPr>
      <w:r>
        <w:t xml:space="preserve">3.3 The Intervention (Business Consultant Role)</w:t>
      </w:r>
    </w:p>
    <w:p>
      <w:pPr>
        <w:pStyle w:val="FirstParagraph"/>
      </w:pPr>
      <w:r>
        <w:t xml:space="preserve">The</w:t>
      </w:r>
      <w:r>
        <w:t xml:space="preserve"> </w:t>
      </w:r>
      <w:r>
        <w:rPr>
          <w:bCs/>
          <w:b/>
        </w:rPr>
        <w:t xml:space="preserve">Business Consultant</w:t>
      </w:r>
      <w:r>
        <w:t xml:space="preserve"> </w:t>
      </w:r>
      <w:r>
        <w:t xml:space="preserve">assigned to the Treatment Group will follow a standardized protocol to minimize variability in the service provided. The intervention includes:</w:t>
      </w:r>
    </w:p>
    <w:p>
      <w:pPr>
        <w:numPr>
          <w:ilvl w:val="0"/>
          <w:numId w:val="1004"/>
        </w:numPr>
        <w:pStyle w:val="Compact"/>
      </w:pPr>
      <w:r>
        <w:rPr>
          <w:bCs/>
          <w:b/>
        </w:rPr>
        <w:t xml:space="preserve">Diagnostic Phase (Weeks 1-2):</w:t>
      </w:r>
      <w:r>
        <w:t xml:space="preserve"> </w:t>
      </w:r>
      <w:r>
        <w:t xml:space="preserve">Comprehensive audit of financial health, operational workflows, and market positioning specific to Cape Town consumer behavior.</w:t>
      </w:r>
    </w:p>
    <w:p>
      <w:pPr>
        <w:numPr>
          <w:ilvl w:val="0"/>
          <w:numId w:val="1004"/>
        </w:numPr>
        <w:pStyle w:val="Compact"/>
      </w:pPr>
      <w:r>
        <w:rPr>
          <w:bCs/>
          <w:b/>
        </w:rPr>
        <w:t xml:space="preserve">Strategic Planning (Weeks 3-4):</w:t>
      </w:r>
      <w:r>
        <w:t xml:space="preserve"> </w:t>
      </w:r>
      <w:r>
        <w:t xml:space="preserve">Development of a tailored growth strategy addressing local regulatory requirements and competitive landscape.</w:t>
      </w:r>
    </w:p>
    <w:p>
      <w:pPr>
        <w:numPr>
          <w:ilvl w:val="0"/>
          <w:numId w:val="1004"/>
        </w:numPr>
        <w:pStyle w:val="Compact"/>
      </w:pPr>
      <w:r>
        <w:rPr>
          <w:bCs/>
          <w:b/>
        </w:rPr>
        <w:t xml:space="preserve">Implementation Support (Weeks 5-10):</w:t>
      </w:r>
      <w:r>
        <w:t xml:space="preserve"> </w:t>
      </w:r>
      <w:r>
        <w:t xml:space="preserve">Hands-on guidance in executing the strategy, including staff training and process re-engineering.</w:t>
      </w:r>
    </w:p>
    <w:p>
      <w:pPr>
        <w:numPr>
          <w:ilvl w:val="0"/>
          <w:numId w:val="1004"/>
        </w:numPr>
        <w:pStyle w:val="Compact"/>
      </w:pPr>
      <w:r>
        <w:rPr>
          <w:bCs/>
          <w:b/>
        </w:rPr>
        <w:t xml:space="preserve">Review and Handover (Weeks 11-12):</w:t>
      </w:r>
      <w:r>
        <w:t xml:space="preserve"> </w:t>
      </w:r>
      <w:r>
        <w:t xml:space="preserve">Assessment of initial results and creation of a sustainability plan for the business owner.</w:t>
      </w:r>
    </w:p>
    <w:bookmarkEnd w:id="25"/>
    <w:bookmarkEnd w:id="26"/>
    <w:bookmarkStart w:id="27" w:name="data-collection-and-metrics"/>
    <w:p>
      <w:pPr>
        <w:pStyle w:val="Heading2"/>
      </w:pPr>
      <w:r>
        <w:t xml:space="preserve">4. Data Collection and Metrics</w:t>
      </w:r>
    </w:p>
    <w:p>
      <w:pPr>
        <w:pStyle w:val="FirstParagraph"/>
      </w:pPr>
      <w:r>
        <w:t xml:space="preserve">Data will be collected at three intervals: Baseline (T0), Mid-point (T1), and Post-intervention (T2). The following metrics will be tracked: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 Category</w:t>
            </w:r>
          </w:p>
        </w:tc>
        <w:tc>
          <w:tcPr/>
          <w:p>
            <w:pPr>
              <w:pStyle w:val="Compact"/>
              <w:jc w:val="left"/>
            </w:pPr>
            <w:r>
              <w:t xml:space="preserve">Specific Indicators</w:t>
            </w:r>
          </w:p>
        </w:tc>
        <w:tc>
          <w:tcPr/>
          <w:p>
            <w:pPr>
              <w:pStyle w:val="Compact"/>
              <w:jc w:val="left"/>
            </w:pPr>
            <w:r>
              <w:t xml:space="preserve">Measurement Method</w:t>
            </w:r>
          </w:p>
        </w:tc>
      </w:tr>
      <w:tr>
        <w:tc>
          <w:tcPr/>
          <w:p>
            <w:pPr>
              <w:pStyle w:val="Compact"/>
              <w:jc w:val="left"/>
            </w:pPr>
            <w:r>
              <w:t xml:space="preserve">Financial Performance</w:t>
            </w:r>
          </w:p>
        </w:tc>
        <w:tc>
          <w:tcPr/>
          <w:p>
            <w:pPr>
              <w:pStyle w:val="Compact"/>
              <w:jc w:val="left"/>
            </w:pPr>
            <w:r>
              <w:t xml:space="preserve">Revenue growth, Gross profit margin, Cash flow stability</w:t>
            </w:r>
          </w:p>
        </w:tc>
        <w:tc>
          <w:tcPr/>
          <w:p>
            <w:pPr>
              <w:pStyle w:val="Compact"/>
              <w:jc w:val="left"/>
            </w:pPr>
            <w:r>
              <w:t xml:space="preserve">Analysis of audited financial statements and bank records.</w:t>
            </w:r>
          </w:p>
        </w:tc>
      </w:tr>
      <w:tr>
        <w:tc>
          <w:tcPr/>
          <w:p>
            <w:pPr>
              <w:pStyle w:val="Compact"/>
              <w:jc w:val="left"/>
            </w:pPr>
            <w:r>
              <w:t xml:space="preserve">Operational Efficiency</w:t>
            </w:r>
          </w:p>
        </w:tc>
        <w:tc>
          <w:tcPr/>
          <w:p>
            <w:pPr>
              <w:pStyle w:val="Compact"/>
              <w:jc w:val="left"/>
            </w:pPr>
            <w:r>
              <w:t xml:space="preserve">Process cycle times, Cost per unit, Employee productivity</w:t>
            </w:r>
          </w:p>
        </w:tc>
        <w:tc>
          <w:tcPr/>
          <w:p>
            <w:pPr>
              <w:pStyle w:val="Compact"/>
              <w:jc w:val="left"/>
            </w:pPr>
            <w:r>
              <w:t xml:space="preserve">Operational audits and internal system logs.</w:t>
            </w:r>
          </w:p>
        </w:tc>
      </w:tr>
      <w:tr>
        <w:tc>
          <w:tcPr/>
          <w:p>
            <w:pPr>
              <w:pStyle w:val="Compact"/>
              <w:jc w:val="left"/>
            </w:pPr>
            <w:r>
              <w:t xml:space="preserve">Market Position</w:t>
            </w:r>
          </w:p>
        </w:tc>
        <w:tc>
          <w:tcPr/>
          <w:p>
            <w:pPr>
              <w:pStyle w:val="Compact"/>
              <w:jc w:val="left"/>
            </w:pPr>
            <w:r>
              <w:t xml:space="preserve">Customer acquisition cost, Customer retention rate, Brand awareness</w:t>
            </w:r>
          </w:p>
        </w:tc>
        <w:tc>
          <w:tcPr/>
          <w:p>
            <w:pPr>
              <w:pStyle w:val="Compact"/>
              <w:jc w:val="left"/>
            </w:pPr>
            <w:r>
              <w:t xml:space="preserve">CRM data analysis and customer surveys.</w:t>
            </w:r>
          </w:p>
        </w:tc>
      </w:tr>
      <w:tr>
        <w:tc>
          <w:tcPr/>
          <w:p>
            <w:pPr>
              <w:pStyle w:val="Compact"/>
              <w:jc w:val="left"/>
            </w:pPr>
            <w:r>
              <w:t xml:space="preserve">Compliance and Governance</w:t>
            </w:r>
          </w:p>
        </w:tc>
        <w:tc>
          <w:tcPr/>
          <w:p>
            <w:pPr>
              <w:pStyle w:val="Compact"/>
              <w:jc w:val="left"/>
            </w:pPr>
            <w:r>
              <w:t xml:space="preserve">Adherence to B-BBEE codes, Tax compliance status, Labor law adherence</w:t>
            </w:r>
          </w:p>
        </w:tc>
        <w:tc>
          <w:tcPr/>
          <w:p>
            <w:pPr>
              <w:pStyle w:val="Compact"/>
              <w:jc w:val="left"/>
            </w:pPr>
            <w:r>
              <w:t xml:space="preserve">Document review and consultant assessment.</w:t>
            </w:r>
          </w:p>
        </w:tc>
      </w:tr>
    </w:tbl>
    <w:bookmarkEnd w:id="27"/>
    <w:bookmarkStart w:id="28" w:name="ethical-considerations"/>
    <w:p>
      <w:pPr>
        <w:pStyle w:val="Heading2"/>
      </w:pPr>
      <w:r>
        <w:t xml:space="preserve">5. Ethical Considerations</w:t>
      </w:r>
    </w:p>
    <w:p>
      <w:pPr>
        <w:pStyle w:val="FirstParagraph"/>
      </w:pPr>
      <w:r>
        <w:t xml:space="preserve">This</w:t>
      </w:r>
      <w:r>
        <w:t xml:space="preserve"> </w:t>
      </w:r>
      <w:r>
        <w:rPr>
          <w:bCs/>
          <w:b/>
        </w:rPr>
        <w:t xml:space="preserve">Experiment Protocol</w:t>
      </w:r>
      <w:r>
        <w:t xml:space="preserve"> </w:t>
      </w:r>
      <w:r>
        <w:t xml:space="preserve">adheres strictly to the ethical guidelines set forth by the South African National Health Research Ethics Committee (SANHREC) and relevant business research standards. Key ethical considerations include:</w:t>
      </w:r>
    </w:p>
    <w:p>
      <w:pPr>
        <w:numPr>
          <w:ilvl w:val="0"/>
          <w:numId w:val="1005"/>
        </w:numPr>
        <w:pStyle w:val="Compact"/>
      </w:pPr>
      <w:r>
        <w:rPr>
          <w:bCs/>
          <w:b/>
        </w:rPr>
        <w:t xml:space="preserve">Informed Consent:</w:t>
      </w:r>
      <w:r>
        <w:t xml:space="preserve"> </w:t>
      </w:r>
      <w:r>
        <w:t xml:space="preserve">All participating SME owners must sign a detailed consent form outlining the study's purpose, procedures, risks, and benefits.</w:t>
      </w:r>
    </w:p>
    <w:p>
      <w:pPr>
        <w:numPr>
          <w:ilvl w:val="0"/>
          <w:numId w:val="1005"/>
        </w:numPr>
        <w:pStyle w:val="Compact"/>
      </w:pPr>
      <w:r>
        <w:rPr>
          <w:bCs/>
          <w:b/>
        </w:rPr>
        <w:t xml:space="preserve">Confidentiality:</w:t>
      </w:r>
      <w:r>
        <w:t xml:space="preserve"> </w:t>
      </w:r>
      <w:r>
        <w:t xml:space="preserve">All business data collected will be anonymized and stored securely in compliance with the Protection of Personal Information Act (POPIA) of South Africa.</w:t>
      </w:r>
    </w:p>
    <w:p>
      <w:pPr>
        <w:numPr>
          <w:ilvl w:val="0"/>
          <w:numId w:val="1005"/>
        </w:numPr>
        <w:pStyle w:val="Compact"/>
      </w:pPr>
      <w:r>
        <w:rPr>
          <w:bCs/>
          <w:b/>
        </w:rPr>
        <w:t xml:space="preserve">Right to Withdraw:</w:t>
      </w:r>
      <w:r>
        <w:t xml:space="preserve"> </w:t>
      </w:r>
      <w:r>
        <w:t xml:space="preserve">Participants may withdraw from the study at any time without penalty.</w:t>
      </w:r>
    </w:p>
    <w:p>
      <w:pPr>
        <w:numPr>
          <w:ilvl w:val="0"/>
          <w:numId w:val="1005"/>
        </w:numPr>
        <w:pStyle w:val="Compact"/>
      </w:pPr>
      <w:r>
        <w:rPr>
          <w:bCs/>
          <w:b/>
        </w:rPr>
        <w:t xml:space="preserve">Equity:</w:t>
      </w:r>
      <w:r>
        <w:t xml:space="preserve"> </w:t>
      </w:r>
      <w:r>
        <w:t xml:space="preserve">Upon completion of the study, a summary of the findings and best practices will be shared with the Control Group to ensure they also benefit from the research outcomes.</w:t>
      </w:r>
    </w:p>
    <w:bookmarkEnd w:id="28"/>
    <w:bookmarkStart w:id="29" w:name="data-analysis-plan"/>
    <w:p>
      <w:pPr>
        <w:pStyle w:val="Heading2"/>
      </w:pPr>
      <w:r>
        <w:t xml:space="preserve">6. Data Analysis Plan</w:t>
      </w:r>
    </w:p>
    <w:p>
      <w:pPr>
        <w:pStyle w:val="FirstParagraph"/>
      </w:pPr>
      <w:r>
        <w:t xml:space="preserve">Quantitative data will be analyzed using statistical software (e.g., SPSS or R). The primary analysis will involve comparing the mean changes in KPIs between the Treatment and Control Groups using independent t-tests or ANOVA, depending on the data distribution. Regression analysis will be employed to control for confounding variables such as company size, industry sector, and pre-existing financial health. Qualitative data from consultant reports and owner interviews will be analyzed thematically to provide context to the quantitative findings.</w:t>
      </w:r>
    </w:p>
    <w:bookmarkEnd w:id="29"/>
    <w:bookmarkStart w:id="30" w:name="timeline"/>
    <w:p>
      <w:pPr>
        <w:pStyle w:val="Heading2"/>
      </w:pPr>
      <w:r>
        <w:t xml:space="preserve">7. Timeline</w:t>
      </w:r>
    </w:p>
    <w:p>
      <w:pPr>
        <w:numPr>
          <w:ilvl w:val="0"/>
          <w:numId w:val="1006"/>
        </w:numPr>
        <w:pStyle w:val="Compact"/>
      </w:pPr>
      <w:r>
        <w:rPr>
          <w:bCs/>
          <w:b/>
        </w:rPr>
        <w:t xml:space="preserve">Months 1-2:</w:t>
      </w:r>
      <w:r>
        <w:t xml:space="preserve"> </w:t>
      </w:r>
      <w:r>
        <w:t xml:space="preserve">Recruitment, screening, and randomization of SMEs in Cape Town.</w:t>
      </w:r>
    </w:p>
    <w:p>
      <w:pPr>
        <w:numPr>
          <w:ilvl w:val="0"/>
          <w:numId w:val="1006"/>
        </w:numPr>
        <w:pStyle w:val="Compact"/>
      </w:pPr>
      <w:r>
        <w:rPr>
          <w:bCs/>
          <w:b/>
        </w:rPr>
        <w:t xml:space="preserve">Month 3:</w:t>
      </w:r>
      <w:r>
        <w:t xml:space="preserve"> </w:t>
      </w:r>
      <w:r>
        <w:t xml:space="preserve">Baseline data collection (T0).</w:t>
      </w:r>
    </w:p>
    <w:p>
      <w:pPr>
        <w:numPr>
          <w:ilvl w:val="0"/>
          <w:numId w:val="1006"/>
        </w:numPr>
        <w:pStyle w:val="Compact"/>
      </w:pPr>
      <w:r>
        <w:rPr>
          <w:bCs/>
          <w:b/>
        </w:rPr>
        <w:t xml:space="preserve">Months 4-6:</w:t>
      </w:r>
      <w:r>
        <w:t xml:space="preserve"> </w:t>
      </w:r>
      <w:r>
        <w:t xml:space="preserve">Implementation of the</w:t>
      </w:r>
      <w:r>
        <w:t xml:space="preserve"> </w:t>
      </w:r>
      <w:r>
        <w:rPr>
          <w:bCs/>
          <w:b/>
        </w:rPr>
        <w:t xml:space="preserve">Business Consultant</w:t>
      </w:r>
      <w:r>
        <w:t xml:space="preserve"> </w:t>
      </w:r>
      <w:r>
        <w:t xml:space="preserve">intervention for the Treatment Group.</w:t>
      </w:r>
    </w:p>
    <w:p>
      <w:pPr>
        <w:numPr>
          <w:ilvl w:val="0"/>
          <w:numId w:val="1006"/>
        </w:numPr>
        <w:pStyle w:val="Compact"/>
      </w:pPr>
      <w:r>
        <w:rPr>
          <w:bCs/>
          <w:b/>
        </w:rPr>
        <w:t xml:space="preserve">Month 7:</w:t>
      </w:r>
      <w:r>
        <w:t xml:space="preserve"> </w:t>
      </w:r>
      <w:r>
        <w:t xml:space="preserve">Mid-point data collection (T1).</w:t>
      </w:r>
    </w:p>
    <w:p>
      <w:pPr>
        <w:numPr>
          <w:ilvl w:val="0"/>
          <w:numId w:val="1006"/>
        </w:numPr>
        <w:pStyle w:val="Compact"/>
      </w:pPr>
      <w:r>
        <w:rPr>
          <w:bCs/>
          <w:b/>
        </w:rPr>
        <w:t xml:space="preserve">Month 9:</w:t>
      </w:r>
      <w:r>
        <w:t xml:space="preserve"> </w:t>
      </w:r>
      <w:r>
        <w:t xml:space="preserve">Post-intervention data collection (T2).</w:t>
      </w:r>
    </w:p>
    <w:p>
      <w:pPr>
        <w:numPr>
          <w:ilvl w:val="0"/>
          <w:numId w:val="1006"/>
        </w:numPr>
        <w:pStyle w:val="Compact"/>
      </w:pPr>
      <w:r>
        <w:rPr>
          <w:bCs/>
          <w:b/>
        </w:rPr>
        <w:t xml:space="preserve">Months 10-12:</w:t>
      </w:r>
      <w:r>
        <w:t xml:space="preserve"> </w:t>
      </w:r>
      <w:r>
        <w:t xml:space="preserve">Data analysis, reporting, and dissemination of results.</w:t>
      </w:r>
    </w:p>
    <w:bookmarkEnd w:id="30"/>
    <w:bookmarkStart w:id="31" w:name="conclusion"/>
    <w:p>
      <w:pPr>
        <w:pStyle w:val="Heading2"/>
      </w:pPr>
      <w:r>
        <w:t xml:space="preserve">8. Conclusion</w:t>
      </w:r>
    </w:p>
    <w:p>
      <w:pPr>
        <w:pStyle w:val="FirstParagraph"/>
      </w:pPr>
      <w:r>
        <w:t xml:space="preserve">This</w:t>
      </w:r>
      <w:r>
        <w:t xml:space="preserve"> </w:t>
      </w:r>
      <w:r>
        <w:rPr>
          <w:bCs/>
          <w:b/>
        </w:rPr>
        <w:t xml:space="preserve">Experiment Protocol</w:t>
      </w:r>
      <w:r>
        <w:t xml:space="preserve"> </w:t>
      </w:r>
      <w:r>
        <w:t xml:space="preserve">provides a robust framework for investigating the tangible value of business consulting in the dynamic environment of</w:t>
      </w:r>
      <w:r>
        <w:t xml:space="preserve"> </w:t>
      </w:r>
      <w:r>
        <w:rPr>
          <w:bCs/>
          <w:b/>
        </w:rPr>
        <w:t xml:space="preserve">South Africa Cape Town</w:t>
      </w:r>
      <w:r>
        <w:t xml:space="preserve">. By rigorously testing the impact of professional guidance on SME performance, this study will contribute valuable evidence to policymakers, business owners, and consulting firms. The findings will help clarify whether investing in a</w:t>
      </w:r>
      <w:r>
        <w:t xml:space="preserve"> </w:t>
      </w:r>
      <w:r>
        <w:rPr>
          <w:bCs/>
          <w:b/>
        </w:rPr>
        <w:t xml:space="preserve">Business Consultant</w:t>
      </w:r>
      <w:r>
        <w:t xml:space="preserve"> </w:t>
      </w:r>
      <w:r>
        <w:t xml:space="preserve">is a viable strategy for overcoming local economic barriers and fostering sustainable business growth 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Business Consultant Efficacy in Cape Town</dc:title>
  <dc:creator/>
  <dc:language>en</dc:language>
  <cp:keywords/>
  <dcterms:created xsi:type="dcterms:W3CDTF">2026-10-10T08:42:27Z</dcterms:created>
  <dcterms:modified xsi:type="dcterms:W3CDTF">2026-10-10T08:42:27Z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