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de761e7b7ea8ca501ebae86336fb5c9beacec4f"/>
    <w:p>
      <w:pPr>
        <w:pStyle w:val="Heading1"/>
      </w:pPr>
      <w:r>
        <w:t xml:space="preserve">Experiment Protocol: Strategic Impact of Business Consultants on SME Growth in South Korea Seoul</w:t>
      </w:r>
    </w:p>
    <w:p>
      <w:pPr>
        <w:pStyle w:val="FirstParagraph"/>
      </w:pPr>
      <w:r>
        <w:rPr>
          <w:bCs/>
          <w:b/>
        </w:rPr>
        <w:t xml:space="preserve">Protocol ID:</w:t>
      </w:r>
      <w:r>
        <w:t xml:space="preserve"> </w:t>
      </w:r>
      <w:r>
        <w:t xml:space="preserve">BK-SEO-2024-BC-001</w:t>
      </w:r>
      <w:r>
        <w:br/>
      </w:r>
      <w:r>
        <w:rPr>
          <w:bCs/>
          <w:b/>
        </w:rPr>
        <w:t xml:space="preserve">Date of Issue:</w:t>
      </w:r>
      <w:r>
        <w:t xml:space="preserve"> </w:t>
      </w:r>
      <w:r>
        <w:t xml:space="preserve">October 24, 2024</w:t>
      </w:r>
      <w:r>
        <w:br/>
      </w:r>
      <w:r>
        <w:rPr>
          <w:bCs/>
          <w:b/>
        </w:rPr>
        <w:t xml:space="preserve">Location:</w:t>
      </w:r>
      <w:r>
        <w:t xml:space="preserve"> </w:t>
      </w:r>
      <w:r>
        <w:t xml:space="preserve">Seoul, South Korea</w:t>
      </w:r>
      <w:r>
        <w:br/>
      </w: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business landscape in South Korea Seoul is characterized by rapid technological advancement, intense market competition, and a unique cultural emphasis on hierarchical relationships and trust (Jeong). Small and Medium-sized Enterprises (SMEs) in Seoul face significant challenges in scaling operations, adopting digital transformation strategies, and navigating complex regulatory environments. While the role of a Business Consultant is globally recognized, the specific efficacy of consulting interventions within the distinct socio-economic context of Seoul requires empirical validation.</w:t>
      </w:r>
    </w:p>
    <w:p>
      <w:pPr>
        <w:pStyle w:val="BodyText"/>
      </w:pPr>
      <w:r>
        <w:t xml:space="preserve">This Experiment Protocol outlines a rigorous study designed to measure the tangible impact of professional Business Consultant engagement on the operational efficiency and revenue growth of SMEs located in the Gangnam and Mapo districts of South Korea Seoul. The study aims to bridge the gap between theoretical consulting frameworks and practical application in the Korean market.</w:t>
      </w:r>
    </w:p>
    <w:bookmarkEnd w:id="20"/>
    <w:bookmarkStart w:id="21" w:name="objectives"/>
    <w:p>
      <w:pPr>
        <w:pStyle w:val="Heading2"/>
      </w:pPr>
      <w:r>
        <w:t xml:space="preserve">2. Objectives</w:t>
      </w:r>
    </w:p>
    <w:p>
      <w:pPr>
        <w:pStyle w:val="FirstParagraph"/>
      </w:pPr>
      <w:r>
        <w:t xml:space="preserve">The primary objective of this experiment is to determine whether structured engagement with a Business Consultant leads to statistically significant improvements in key performance indicators (KPIs) compared to a control group operating without such assistance.</w:t>
      </w:r>
    </w:p>
    <w:p>
      <w:pPr>
        <w:pStyle w:val="BodyText"/>
      </w:pPr>
      <w:r>
        <w:t xml:space="preserve">Specific objectives include:</w:t>
      </w:r>
    </w:p>
    <w:p>
      <w:pPr>
        <w:numPr>
          <w:ilvl w:val="0"/>
          <w:numId w:val="1001"/>
        </w:numPr>
        <w:pStyle w:val="Compact"/>
      </w:pPr>
      <w:r>
        <w:t xml:space="preserve">To quantify the impact of consulting on digital adoption rates among Seoul-based SMEs.</w:t>
      </w:r>
    </w:p>
    <w:p>
      <w:pPr>
        <w:numPr>
          <w:ilvl w:val="0"/>
          <w:numId w:val="1001"/>
        </w:numPr>
        <w:pStyle w:val="Compact"/>
      </w:pPr>
      <w:r>
        <w:t xml:space="preserve">To analyze the correlation between consultant-led strategic planning and revenue growth over a six-month period.</w:t>
      </w:r>
    </w:p>
    <w:p>
      <w:pPr>
        <w:numPr>
          <w:ilvl w:val="0"/>
          <w:numId w:val="1001"/>
        </w:numPr>
        <w:pStyle w:val="Compact"/>
      </w:pPr>
      <w:r>
        <w:t xml:space="preserve">To evaluate the cultural fit and communication effectiveness of Business Consultants within the South Korean corporate hierarchy.</w:t>
      </w:r>
    </w:p>
    <w:p>
      <w:pPr>
        <w:numPr>
          <w:ilvl w:val="0"/>
          <w:numId w:val="1001"/>
        </w:numPr>
        <w:pStyle w:val="Compact"/>
      </w:pPr>
      <w:r>
        <w:t xml:space="preserve">To identify specific pain points in the Seoul market that are most effectively resolved through external consulting expertise.</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randomized controlled trial (RCT) design. Participants will be randomly assigned to either the Intervention Group or the Control Group. The experiment will run for a duration of six months, followed by a three-month post-intervention analysis period.</w:t>
      </w:r>
    </w:p>
    <w:bookmarkEnd w:id="22"/>
    <w:bookmarkStart w:id="23" w:name="participants-and-sampling"/>
    <w:p>
      <w:pPr>
        <w:pStyle w:val="Heading3"/>
      </w:pPr>
      <w:r>
        <w:t xml:space="preserve">3.2 Participants and Sampling</w:t>
      </w:r>
    </w:p>
    <w:p>
      <w:pPr>
        <w:pStyle w:val="FirstParagraph"/>
      </w:pPr>
      <w:r>
        <w:t xml:space="preserve">The target population consists of SMEs in South Korea Seoul with 10 to 100 employees, operating in the technology, retail, or service sectors. A total of 100 companies will be recruited. Inclusion criteria require that the company has been operational for at least three years and has not engaged a Business Consultant in the past 24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Sample Size</w:t>
            </w:r>
          </w:p>
        </w:tc>
        <w:tc>
          <w:tcPr/>
          <w:p>
            <w:pPr>
              <w:pStyle w:val="Compact"/>
              <w:jc w:val="left"/>
            </w:pPr>
            <w:r>
              <w:t xml:space="preserve">Intervention</w:t>
            </w:r>
          </w:p>
        </w:tc>
      </w:tr>
      <w:tr>
        <w:tc>
          <w:tcPr/>
          <w:p>
            <w:pPr>
              <w:pStyle w:val="Compact"/>
              <w:jc w:val="left"/>
            </w:pPr>
            <w:r>
              <w:t xml:space="preserve">Intervention Group</w:t>
            </w:r>
          </w:p>
        </w:tc>
        <w:tc>
          <w:tcPr/>
          <w:p>
            <w:pPr>
              <w:pStyle w:val="Compact"/>
              <w:jc w:val="left"/>
            </w:pPr>
            <w:r>
              <w:t xml:space="preserve">50 Companies</w:t>
            </w:r>
          </w:p>
        </w:tc>
        <w:tc>
          <w:tcPr/>
          <w:p>
            <w:pPr>
              <w:pStyle w:val="Compact"/>
              <w:jc w:val="left"/>
            </w:pPr>
            <w:r>
              <w:t xml:space="preserve">Engagement with a certified Business Consultant for 6 months.</w:t>
            </w:r>
          </w:p>
        </w:tc>
      </w:tr>
      <w:tr>
        <w:tc>
          <w:tcPr/>
          <w:p>
            <w:pPr>
              <w:pStyle w:val="Compact"/>
              <w:jc w:val="left"/>
            </w:pPr>
            <w:r>
              <w:t xml:space="preserve">Control Group</w:t>
            </w:r>
          </w:p>
        </w:tc>
        <w:tc>
          <w:tcPr/>
          <w:p>
            <w:pPr>
              <w:pStyle w:val="Compact"/>
              <w:jc w:val="left"/>
            </w:pPr>
            <w:r>
              <w:t xml:space="preserve">50 Companies</w:t>
            </w:r>
          </w:p>
        </w:tc>
        <w:tc>
          <w:tcPr/>
          <w:p>
            <w:pPr>
              <w:pStyle w:val="Compact"/>
              <w:jc w:val="left"/>
            </w:pPr>
            <w:r>
              <w:t xml:space="preserve">Business as usual; no external consulting engagement.</w:t>
            </w:r>
          </w:p>
        </w:tc>
      </w:tr>
    </w:tbl>
    <w:bookmarkEnd w:id="23"/>
    <w:bookmarkStart w:id="24" w:name="the-intervention"/>
    <w:p>
      <w:pPr>
        <w:pStyle w:val="Heading3"/>
      </w:pPr>
      <w:r>
        <w:t xml:space="preserve">3.3 The Intervention</w:t>
      </w:r>
    </w:p>
    <w:p>
      <w:pPr>
        <w:pStyle w:val="FirstParagraph"/>
      </w:pPr>
      <w:r>
        <w:t xml:space="preserve">For the Intervention Group, a Business Consultant will be assigned based on industry specialization. The consultant will adhere to a standardized protocol involving:</w:t>
      </w:r>
    </w:p>
    <w:p>
      <w:pPr>
        <w:numPr>
          <w:ilvl w:val="0"/>
          <w:numId w:val="1002"/>
        </w:numPr>
        <w:pStyle w:val="Compact"/>
      </w:pPr>
      <w:r>
        <w:rPr>
          <w:bCs/>
          <w:b/>
        </w:rPr>
        <w:t xml:space="preserve">Phase 1 (Weeks 1-4):</w:t>
      </w:r>
      <w:r>
        <w:t xml:space="preserve"> </w:t>
      </w:r>
      <w:r>
        <w:t xml:space="preserve">Diagnostic audit of current operations, financial health, and organizational culture.</w:t>
      </w:r>
    </w:p>
    <w:p>
      <w:pPr>
        <w:numPr>
          <w:ilvl w:val="0"/>
          <w:numId w:val="1002"/>
        </w:numPr>
        <w:pStyle w:val="Compact"/>
      </w:pPr>
      <w:r>
        <w:rPr>
          <w:bCs/>
          <w:b/>
        </w:rPr>
        <w:t xml:space="preserve">Phase 2 (Weeks 5-16):</w:t>
      </w:r>
      <w:r>
        <w:t xml:space="preserve"> </w:t>
      </w:r>
      <w:r>
        <w:t xml:space="preserve">Implementation of strategic recommendations, focusing on process optimization and digital tool integration.</w:t>
      </w:r>
    </w:p>
    <w:p>
      <w:pPr>
        <w:numPr>
          <w:ilvl w:val="0"/>
          <w:numId w:val="1002"/>
        </w:numPr>
        <w:pStyle w:val="Compact"/>
      </w:pPr>
      <w:r>
        <w:rPr>
          <w:bCs/>
          <w:b/>
        </w:rPr>
        <w:t xml:space="preserve">Phase 3 (Weeks 17-24):</w:t>
      </w:r>
      <w:r>
        <w:t xml:space="preserve"> </w:t>
      </w:r>
      <w:r>
        <w:t xml:space="preserve">Monitoring, adjustment, and training of internal staff to ensure sustainability.</w:t>
      </w:r>
    </w:p>
    <w:p>
      <w:pPr>
        <w:pStyle w:val="FirstParagraph"/>
      </w:pPr>
      <w:r>
        <w:t xml:space="preserve">All consultants must be fluent in Korean and possess a deep understanding of South Korean business etiquette to ensure effective communication with stakeholders in Seoul.</w:t>
      </w:r>
    </w:p>
    <w:bookmarkEnd w:id="24"/>
    <w:bookmarkEnd w:id="25"/>
    <w:bookmarkStart w:id="26" w:name="data-collection-and-metrics"/>
    <w:p>
      <w:pPr>
        <w:pStyle w:val="Heading2"/>
      </w:pPr>
      <w:r>
        <w:t xml:space="preserve">4. Data Collection and Metrics</w:t>
      </w:r>
    </w:p>
    <w:p>
      <w:pPr>
        <w:pStyle w:val="FirstParagraph"/>
      </w:pPr>
      <w:r>
        <w:t xml:space="preserve">Data will be collected at three intervals: Baseline (T0), Mid-point (T1), and End-line (T2). The following metrics will be tracked:</w:t>
      </w:r>
    </w:p>
    <w:p>
      <w:pPr>
        <w:numPr>
          <w:ilvl w:val="0"/>
          <w:numId w:val="1003"/>
        </w:numPr>
        <w:pStyle w:val="Compact"/>
      </w:pPr>
      <w:r>
        <w:rPr>
          <w:bCs/>
          <w:b/>
        </w:rPr>
        <w:t xml:space="preserve">Financial Metrics:</w:t>
      </w:r>
      <w:r>
        <w:t xml:space="preserve"> </w:t>
      </w:r>
      <w:r>
        <w:t xml:space="preserve">Monthly revenue, profit margins, and cost reduction percentages.</w:t>
      </w:r>
    </w:p>
    <w:p>
      <w:pPr>
        <w:numPr>
          <w:ilvl w:val="0"/>
          <w:numId w:val="1003"/>
        </w:numPr>
        <w:pStyle w:val="Compact"/>
      </w:pPr>
      <w:r>
        <w:rPr>
          <w:bCs/>
          <w:b/>
        </w:rPr>
        <w:t xml:space="preserve">Operational Metrics:</w:t>
      </w:r>
      <w:r>
        <w:t xml:space="preserve"> </w:t>
      </w:r>
      <w:r>
        <w:t xml:space="preserve">Employee productivity rates, project completion times, and customer satisfaction scores.</w:t>
      </w:r>
    </w:p>
    <w:p>
      <w:pPr>
        <w:numPr>
          <w:ilvl w:val="0"/>
          <w:numId w:val="1003"/>
        </w:numPr>
        <w:pStyle w:val="Compact"/>
      </w:pPr>
      <w:r>
        <w:rPr>
          <w:bCs/>
          <w:b/>
        </w:rPr>
        <w:t xml:space="preserve">Qualitative Metrics:</w:t>
      </w:r>
      <w:r>
        <w:t xml:space="preserve"> </w:t>
      </w:r>
      <w:r>
        <w:t xml:space="preserve">Surveys assessing leadership confidence, employee morale, and perceived value of the Business Consultant.</w:t>
      </w:r>
    </w:p>
    <w:bookmarkEnd w:id="26"/>
    <w:bookmarkStart w:id="27" w:name="ethical-considerations"/>
    <w:p>
      <w:pPr>
        <w:pStyle w:val="Heading2"/>
      </w:pPr>
      <w:r>
        <w:t xml:space="preserve">5. Ethical Considerations</w:t>
      </w:r>
    </w:p>
    <w:p>
      <w:pPr>
        <w:pStyle w:val="FirstParagraph"/>
      </w:pPr>
      <w:r>
        <w:t xml:space="preserve">This experiment adheres to the ethical guidelines for business research in South Korea. All participating companies will provide informed consent, understanding that their data will be anonymized and used solely for research purposes. Confidentiality agreements will be signed by all Business Consultants involved to protect proprietary business information. The study has been reviewed to ensure no conflict of interest exists between the researchers and the consulting firms providing the intervention.</w:t>
      </w:r>
    </w:p>
    <w:bookmarkEnd w:id="27"/>
    <w:bookmarkStart w:id="28" w:name="risk-management"/>
    <w:p>
      <w:pPr>
        <w:pStyle w:val="Heading2"/>
      </w:pPr>
      <w:r>
        <w:t xml:space="preserve">6. Risk Management</w:t>
      </w:r>
    </w:p>
    <w:p>
      <w:pPr>
        <w:pStyle w:val="FirstParagraph"/>
      </w:pPr>
      <w:r>
        <w:t xml:space="preserve">Potential risks include the disruption of normal business operations due to the consulting process and the possibility of biased reporting by company owners. To mitigate these risks, the Business Consultant will operate with minimal intrusion, and data will be triangulated using financial records rather than self-reported figures alone. Additionally, a drop-out rate of up to 10% is anticipated and accounted for in the sample size calculation.</w:t>
      </w:r>
    </w:p>
    <w:bookmarkEnd w:id="28"/>
    <w:bookmarkStart w:id="29" w:name="timeline"/>
    <w:p>
      <w:pPr>
        <w:pStyle w:val="Heading2"/>
      </w:pPr>
      <w:r>
        <w:t xml:space="preserve">7. Timeline</w:t>
      </w:r>
    </w:p>
    <w:p>
      <w:pPr>
        <w:numPr>
          <w:ilvl w:val="0"/>
          <w:numId w:val="1004"/>
        </w:numPr>
        <w:pStyle w:val="Compact"/>
      </w:pPr>
      <w:r>
        <w:rPr>
          <w:bCs/>
          <w:b/>
        </w:rPr>
        <w:t xml:space="preserve">Month 1:</w:t>
      </w:r>
      <w:r>
        <w:t xml:space="preserve"> </w:t>
      </w:r>
      <w:r>
        <w:t xml:space="preserve">Recruitment, screening, and randomization of participants in Seoul.</w:t>
      </w:r>
    </w:p>
    <w:p>
      <w:pPr>
        <w:numPr>
          <w:ilvl w:val="0"/>
          <w:numId w:val="1004"/>
        </w:numPr>
        <w:pStyle w:val="Compact"/>
      </w:pPr>
      <w:r>
        <w:rPr>
          <w:bCs/>
          <w:b/>
        </w:rPr>
        <w:t xml:space="preserve">Month 2-7:</w:t>
      </w:r>
      <w:r>
        <w:t xml:space="preserve"> </w:t>
      </w:r>
      <w:r>
        <w:t xml:space="preserve">Execution of the consulting intervention and data collection.</w:t>
      </w:r>
    </w:p>
    <w:p>
      <w:pPr>
        <w:numPr>
          <w:ilvl w:val="0"/>
          <w:numId w:val="1004"/>
        </w:numPr>
        <w:pStyle w:val="Compact"/>
      </w:pPr>
      <w:r>
        <w:rPr>
          <w:bCs/>
          <w:b/>
        </w:rPr>
        <w:t xml:space="preserve">Month 8-9:</w:t>
      </w:r>
      <w:r>
        <w:t xml:space="preserve"> </w:t>
      </w:r>
      <w:r>
        <w:t xml:space="preserve">Post-intervention data analysis and reporting.</w:t>
      </w:r>
    </w:p>
    <w:bookmarkEnd w:id="29"/>
    <w:bookmarkStart w:id="30" w:name="conclusion"/>
    <w:p>
      <w:pPr>
        <w:pStyle w:val="Heading2"/>
      </w:pPr>
      <w:r>
        <w:t xml:space="preserve">8. Conclusion</w:t>
      </w:r>
    </w:p>
    <w:p>
      <w:pPr>
        <w:pStyle w:val="FirstParagraph"/>
      </w:pPr>
      <w:r>
        <w:t xml:space="preserve">This Experiment Protocol provides a structured framework for evaluating the value proposition of Business Consultants in the dynamic environment of South Korea Seoul. By rigorously testing the impact of consulting services, this study aims to provide actionable insights for SMEs, policymakers, and consulting firms, ultimately contributing to the economic resilience and growth of the Seoul business ecosystem.</w:t>
      </w:r>
    </w:p>
    <w:p>
      <w:pPr>
        <w:pStyle w:val="BodyText"/>
      </w:pPr>
      <w:r>
        <w:t xml:space="preserve">© 2024 Seoul Business Research Institute. All rights reserved. This document is confidential and intended for authorized personnel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South Korea Seoul</dc:title>
  <dc:creator/>
  <dc:language>en</dc:language>
  <cp:keywords/>
  <dcterms:created xsi:type="dcterms:W3CDTF">2026-10-10T09:09:13Z</dcterms:created>
  <dcterms:modified xsi:type="dcterms:W3CDTF">2026-10-10T09:09:13Z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