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Spain</w:t>
      </w:r>
      <w:r>
        <w:t xml:space="preserve"> </w:t>
      </w:r>
      <w:r>
        <w:t xml:space="preserve">Valencia</w:t>
      </w:r>
    </w:p>
    <w:bookmarkStart w:id="31" w:name="Xa28fa9c64bef90711d852a9e5b3493f817db0d9"/>
    <w:p>
      <w:pPr>
        <w:pStyle w:val="Heading1"/>
      </w:pPr>
      <w:r>
        <w:t xml:space="preserve">Experiment Protocol: Business Consultant Efficacy in Spain Valencia</w:t>
      </w:r>
    </w:p>
    <w:bookmarkStart w:id="20" w:name="introduction-and-background"/>
    <w:p>
      <w:pPr>
        <w:pStyle w:val="Heading2"/>
      </w:pPr>
      <w:r>
        <w:t xml:space="preserve">1. Introduction and Background</w:t>
      </w:r>
    </w:p>
    <w:p>
      <w:pPr>
        <w:pStyle w:val="FirstParagraph"/>
      </w:pPr>
      <w:r>
        <w:t xml:space="preserve">The purpose of this Experiment Protocol is to systematically evaluate the impact of professional Business Consultant interventions on small and medium-sized enterprises (SMEs) located in the metropolitan area of Spain Valencia. Valencia has emerged as a significant hub for technology, logistics, and tourism within the Valencian Community. However, local SMEs often face challenges related to digital transformation, internationalization, and operational efficiency.</w:t>
      </w:r>
    </w:p>
    <w:p>
      <w:pPr>
        <w:pStyle w:val="BodyText"/>
      </w:pPr>
      <w:r>
        <w:t xml:space="preserve">This protocol outlines a rigorous methodology to determine whether the engagement of a certified Business Consultant leads to statistically significant improvements in key performance indicators (KPIs) compared to a control group operating without such external guidance. The findings will contribute to the broader understanding of consultancy value in the specific socio-economic context of Spain Valencia.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correlation between Business Consultant advisory services and revenue growth in Valencia-based SMEs over a six-month period.</w:t>
      </w:r>
    </w:p>
    <w:p>
      <w:pPr>
        <w:numPr>
          <w:ilvl w:val="0"/>
          <w:numId w:val="1001"/>
        </w:numPr>
        <w:pStyle w:val="Compact"/>
      </w:pPr>
      <w:r>
        <w:t xml:space="preserve">To assess improvements in operational efficiency metrics, specifically focusing on supply chain optimization and digital adoption.</w:t>
      </w:r>
    </w:p>
    <w:p>
      <w:pPr>
        <w:numPr>
          <w:ilvl w:val="0"/>
          <w:numId w:val="1001"/>
        </w:numPr>
        <w:pStyle w:val="Compact"/>
      </w:pPr>
      <w:r>
        <w:t xml:space="preserve">To evaluate the satisfaction levels of business owners in Spain Valencia regarding the strategic value provided by consultants.</w:t>
      </w:r>
    </w:p>
    <w:p>
      <w:pPr>
        <w:numPr>
          <w:ilvl w:val="0"/>
          <w:numId w:val="1001"/>
        </w:numPr>
        <w:pStyle w:val="Compact"/>
      </w:pPr>
      <w:r>
        <w:t xml:space="preserve">To identify specific cultural or regulatory factors in the Valencian market that influence the success of consultancy engagements.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Participating companies will be randomly assigned to either the Treatment Group or the Control Group. The experiment will run for a duration of six months, followed by a three-month post-intervention analysis period.</w:t>
      </w:r>
    </w:p>
    <w:bookmarkEnd w:id="22"/>
    <w:bookmarkStart w:id="23" w:name="participants-and-sampling"/>
    <w:p>
      <w:pPr>
        <w:pStyle w:val="Heading3"/>
      </w:pPr>
      <w:r>
        <w:t xml:space="preserve">3.2 Participants and Sampling</w:t>
      </w:r>
    </w:p>
    <w:p>
      <w:pPr>
        <w:pStyle w:val="FirstParagraph"/>
      </w:pPr>
      <w:r>
        <w:t xml:space="preserve">The target population consists of SMEs registered in the Valencia Chamber of Commerce with between 10 and 100 employees. The sample size will comprise 60 companies, divided equally:</w:t>
      </w:r>
    </w:p>
    <w:p>
      <w:pPr>
        <w:numPr>
          <w:ilvl w:val="0"/>
          <w:numId w:val="1002"/>
        </w:numPr>
        <w:pStyle w:val="Compact"/>
      </w:pPr>
      <w:r>
        <w:rPr>
          <w:bCs/>
          <w:b/>
        </w:rPr>
        <w:t xml:space="preserve">Treatment Group (n=30):</w:t>
      </w:r>
      <w:r>
        <w:t xml:space="preserve"> </w:t>
      </w:r>
      <w:r>
        <w:t xml:space="preserve">Companies that will engage a designated Business Consultant for a structured advisory program.</w:t>
      </w:r>
    </w:p>
    <w:p>
      <w:pPr>
        <w:numPr>
          <w:ilvl w:val="0"/>
          <w:numId w:val="1002"/>
        </w:numPr>
        <w:pStyle w:val="Compact"/>
      </w:pPr>
      <w:r>
        <w:rPr>
          <w:bCs/>
          <w:b/>
        </w:rPr>
        <w:t xml:space="preserve">Control Group (n=30):</w:t>
      </w:r>
      <w:r>
        <w:t xml:space="preserve"> </w:t>
      </w:r>
      <w:r>
        <w:t xml:space="preserve">Companies that will continue their standard operations without external consultancy intervention during the study period.</w:t>
      </w:r>
    </w:p>
    <w:p>
      <w:pPr>
        <w:pStyle w:val="FirstParagraph"/>
      </w:pPr>
      <w:r>
        <w:t xml:space="preserve">Inclusion criteria require that companies have been operational for at least three years and are willing to share anonymized financial and operational data.</w:t>
      </w:r>
    </w:p>
    <w:bookmarkEnd w:id="23"/>
    <w:bookmarkStart w:id="24" w:name="intervention-protocol"/>
    <w:p>
      <w:pPr>
        <w:pStyle w:val="Heading3"/>
      </w:pPr>
      <w:r>
        <w:t xml:space="preserve">3.3 Intervention Protocol</w:t>
      </w:r>
    </w:p>
    <w:p>
      <w:pPr>
        <w:pStyle w:val="FirstParagraph"/>
      </w:pPr>
      <w:r>
        <w:t xml:space="preserve">For the Treatment Group, the Business Consultant will implement a standardized intervention framework tailored to the Spain Valencia market. This includes:</w:t>
      </w:r>
    </w:p>
    <w:p>
      <w:pPr>
        <w:numPr>
          <w:ilvl w:val="0"/>
          <w:numId w:val="1003"/>
        </w:numPr>
        <w:pStyle w:val="Compact"/>
      </w:pPr>
      <w:r>
        <w:rPr>
          <w:bCs/>
          <w:b/>
        </w:rPr>
        <w:t xml:space="preserve">Phase 1 (Weeks 1-4):</w:t>
      </w:r>
      <w:r>
        <w:t xml:space="preserve"> </w:t>
      </w:r>
      <w:r>
        <w:t xml:space="preserve">Comprehensive diagnostic audit of current business processes, market positioning, and financial health.</w:t>
      </w:r>
    </w:p>
    <w:p>
      <w:pPr>
        <w:numPr>
          <w:ilvl w:val="0"/>
          <w:numId w:val="1003"/>
        </w:numPr>
        <w:pStyle w:val="Compact"/>
      </w:pPr>
      <w:r>
        <w:rPr>
          <w:bCs/>
          <w:b/>
        </w:rPr>
        <w:t xml:space="preserve">Phase 2 (Weeks 5-12):</w:t>
      </w:r>
      <w:r>
        <w:t xml:space="preserve"> </w:t>
      </w:r>
      <w:r>
        <w:t xml:space="preserve">Development and implementation of a strategic action plan focusing on digital tools, export opportunities within the EU, and local regulatory compliance.</w:t>
      </w:r>
    </w:p>
    <w:p>
      <w:pPr>
        <w:numPr>
          <w:ilvl w:val="0"/>
          <w:numId w:val="1003"/>
        </w:numPr>
        <w:pStyle w:val="Compact"/>
      </w:pPr>
      <w:r>
        <w:rPr>
          <w:bCs/>
          <w:b/>
        </w:rPr>
        <w:t xml:space="preserve">Phase 3 (Weeks 13-24):</w:t>
      </w:r>
      <w:r>
        <w:t xml:space="preserve"> </w:t>
      </w:r>
      <w:r>
        <w:t xml:space="preserve">Ongoing monitoring, adjustment of strategies, and performance tracking.</w:t>
      </w:r>
    </w:p>
    <w:p>
      <w:pPr>
        <w:pStyle w:val="FirstParagraph"/>
      </w:pPr>
      <w:r>
        <w:t xml:space="preserve">All consultants involved must hold relevant certifications and possess experience in the Valencian economic sector.</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Mid-point (T1), and End-line (T2).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Net Revenue Growth</w:t>
            </w:r>
          </w:p>
        </w:tc>
        <w:tc>
          <w:tcPr/>
          <w:p>
            <w:pPr>
              <w:pStyle w:val="Compact"/>
              <w:jc w:val="left"/>
            </w:pPr>
            <w:r>
              <w:t xml:space="preserve">Analysis of anonymized tax filings and accounting records.</w:t>
            </w:r>
          </w:p>
        </w:tc>
      </w:tr>
      <w:tr>
        <w:tc>
          <w:tcPr/>
          <w:p>
            <w:pPr>
              <w:pStyle w:val="Compact"/>
              <w:jc w:val="left"/>
            </w:pPr>
            <w:r>
              <w:t xml:space="preserve">Operational Efficiency</w:t>
            </w:r>
          </w:p>
        </w:tc>
        <w:tc>
          <w:tcPr/>
          <w:p>
            <w:pPr>
              <w:pStyle w:val="Compact"/>
              <w:jc w:val="left"/>
            </w:pPr>
            <w:r>
              <w:t xml:space="preserve">Process Cycle Time Reduction</w:t>
            </w:r>
          </w:p>
        </w:tc>
        <w:tc>
          <w:tcPr/>
          <w:p>
            <w:pPr>
              <w:pStyle w:val="Compact"/>
              <w:jc w:val="left"/>
            </w:pPr>
            <w:r>
              <w:t xml:space="preserve">Internal workflow logs and time-tracking software data.</w:t>
            </w:r>
          </w:p>
        </w:tc>
      </w:tr>
      <w:tr>
        <w:tc>
          <w:tcPr/>
          <w:p>
            <w:pPr>
              <w:pStyle w:val="Compact"/>
              <w:jc w:val="left"/>
            </w:pPr>
            <w:r>
              <w:t xml:space="preserve">Digital Maturity</w:t>
            </w:r>
          </w:p>
        </w:tc>
        <w:tc>
          <w:tcPr/>
          <w:p>
            <w:pPr>
              <w:pStyle w:val="Compact"/>
              <w:jc w:val="left"/>
            </w:pPr>
            <w:r>
              <w:t xml:space="preserve">Adoption of New Technologies</w:t>
            </w:r>
          </w:p>
        </w:tc>
        <w:tc>
          <w:tcPr/>
          <w:p>
            <w:pPr>
              <w:pStyle w:val="Compact"/>
              <w:jc w:val="left"/>
            </w:pPr>
            <w:r>
              <w:t xml:space="preserve">Survey-based assessment of software and tool implementation.</w:t>
            </w:r>
          </w:p>
        </w:tc>
      </w:tr>
      <w:tr>
        <w:tc>
          <w:tcPr/>
          <w:p>
            <w:pPr>
              <w:pStyle w:val="Compact"/>
              <w:jc w:val="left"/>
            </w:pPr>
            <w:r>
              <w:t xml:space="preserve">Stakeholder Satisfaction</w:t>
            </w:r>
          </w:p>
        </w:tc>
        <w:tc>
          <w:tcPr/>
          <w:p>
            <w:pPr>
              <w:pStyle w:val="Compact"/>
              <w:jc w:val="left"/>
            </w:pPr>
            <w:r>
              <w:t xml:space="preserve">Consultant Value Perception</w:t>
            </w:r>
          </w:p>
        </w:tc>
        <w:tc>
          <w:tcPr/>
          <w:p>
            <w:pPr>
              <w:pStyle w:val="Compact"/>
              <w:jc w:val="left"/>
            </w:pPr>
            <w:r>
              <w:t xml:space="preserve">Likert scale surveys administered to business owners.</w:t>
            </w:r>
          </w:p>
        </w:tc>
      </w:tr>
    </w:tbl>
    <w:bookmarkEnd w:id="26"/>
    <w:bookmarkStart w:id="27" w:name="ethical-considerations-and-compliance"/>
    <w:p>
      <w:pPr>
        <w:pStyle w:val="Heading2"/>
      </w:pPr>
      <w:r>
        <w:t xml:space="preserve">5. Ethical Considerations and Compliance</w:t>
      </w:r>
    </w:p>
    <w:p>
      <w:pPr>
        <w:pStyle w:val="FirstParagraph"/>
      </w:pPr>
      <w:r>
        <w:t xml:space="preserve">This Experiment Protocol adheres to the General Data Protection Regulation (GDPR) applicable in Spain. All participant data will be anonymized to protect the privacy of the companies and their employees. Informed consent will be obtained from all participating business owners prior to the commencement of the study. Participants have the right to withdraw from the experiment at any time without penalty.</w:t>
      </w:r>
    </w:p>
    <w:p>
      <w:pPr>
        <w:pStyle w:val="BodyText"/>
      </w:pPr>
      <w:r>
        <w:t xml:space="preserve">The study has been reviewed to ensure there are no conflicts of interest between the research team and the Business Consultants involved.</w:t>
      </w:r>
    </w:p>
    <w:bookmarkEnd w:id="27"/>
    <w:bookmarkStart w:id="28" w:name="data-analysis-plan"/>
    <w:p>
      <w:pPr>
        <w:pStyle w:val="Heading2"/>
      </w:pPr>
      <w:r>
        <w:t xml:space="preserve">6. Data Analysis Plan</w:t>
      </w:r>
    </w:p>
    <w:p>
      <w:pPr>
        <w:pStyle w:val="FirstParagraph"/>
      </w:pPr>
      <w:r>
        <w:t xml:space="preserve">Quantitative data will be analyzed using statistical software (e.g., SPSS or R). The primary analysis will involve comparing the mean changes in KPIs between the Treatment Group and the Control Group using independent samples t-tests. Qualitative data from surveys will be analyzed using thematic analysis to identify recurring patterns regarding the effectiveness of the Business Consultant in the Spain Valencia context.</w:t>
      </w:r>
    </w:p>
    <w:bookmarkEnd w:id="28"/>
    <w:bookmarkStart w:id="29"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screening, and randomization of companies.</w:t>
      </w:r>
    </w:p>
    <w:p>
      <w:pPr>
        <w:numPr>
          <w:ilvl w:val="0"/>
          <w:numId w:val="1004"/>
        </w:numPr>
        <w:pStyle w:val="Compact"/>
      </w:pPr>
      <w:r>
        <w:rPr>
          <w:bCs/>
          <w:b/>
        </w:rPr>
        <w:t xml:space="preserve">Month 2-7:</w:t>
      </w:r>
      <w:r>
        <w:t xml:space="preserve"> </w:t>
      </w:r>
      <w:r>
        <w:t xml:space="preserve">Implementation of the intervention for the Treatment Group; baseline and mid-point data collection.</w:t>
      </w:r>
    </w:p>
    <w:p>
      <w:pPr>
        <w:numPr>
          <w:ilvl w:val="0"/>
          <w:numId w:val="1004"/>
        </w:numPr>
        <w:pStyle w:val="Compact"/>
      </w:pPr>
      <w:r>
        <w:rPr>
          <w:bCs/>
          <w:b/>
        </w:rPr>
        <w:t xml:space="preserve">Month 8:</w:t>
      </w:r>
      <w:r>
        <w:t xml:space="preserve"> </w:t>
      </w:r>
      <w:r>
        <w:t xml:space="preserve">End-line data collection and conclusion of the intervention.</w:t>
      </w:r>
    </w:p>
    <w:p>
      <w:pPr>
        <w:numPr>
          <w:ilvl w:val="0"/>
          <w:numId w:val="1004"/>
        </w:numPr>
        <w:pStyle w:val="Compact"/>
      </w:pPr>
      <w:r>
        <w:rPr>
          <w:bCs/>
          <w:b/>
        </w:rPr>
        <w:t xml:space="preserve">Month 9-10:</w:t>
      </w:r>
      <w:r>
        <w:t xml:space="preserve"> </w:t>
      </w:r>
      <w:r>
        <w:t xml:space="preserve">Data cleaning, statistical analysis, and report drafting.</w:t>
      </w:r>
    </w:p>
    <w:p>
      <w:pPr>
        <w:numPr>
          <w:ilvl w:val="0"/>
          <w:numId w:val="1004"/>
        </w:numPr>
        <w:pStyle w:val="Compact"/>
      </w:pPr>
      <w:r>
        <w:rPr>
          <w:bCs/>
          <w:b/>
        </w:rPr>
        <w:t xml:space="preserve">Month 11:</w:t>
      </w:r>
      <w:r>
        <w:t xml:space="preserve"> </w:t>
      </w:r>
      <w:r>
        <w:t xml:space="preserve">Dissemination of results to stakeholders in the Valencia business community.</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tangible benefits of hiring a Business Consultant in Spain Valencia. By isolating the variable of professional consultancy, this study aims to provide empirical evidence that can guide local business owners, policymakers, and consultancy firms in making informed decisions about strategic investments in professional advisory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Spain Valencia</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