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Sudan</w:t>
      </w:r>
      <w:r>
        <w:t xml:space="preserve"> </w:t>
      </w:r>
      <w:r>
        <w:t xml:space="preserve">Khartoum</w:t>
      </w:r>
    </w:p>
    <w:bookmarkStart w:id="30" w:name="X70ada70fd56d03b56249834e5a83a7038a1fc28"/>
    <w:p>
      <w:pPr>
        <w:pStyle w:val="Heading1"/>
      </w:pPr>
      <w:r>
        <w:t xml:space="preserve">Experiment Protocol: Assessing the Impact of Business Consultant Interventions on SME Growth in Sudan Khartoum</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Sudan Khartoum</w:t>
      </w:r>
      <w:r>
        <w:t xml:space="preserve"> </w:t>
      </w:r>
      <w:r>
        <w:t xml:space="preserve">is characterized by a vibrant but challenging environment for Small and Medium-sized Enterprises (SMEs). Factors such as currency fluctuation, supply chain disruptions, and evolving regulatory frameworks create significant hurdles for local businesses. In this context, the role of the</w:t>
      </w:r>
      <w:r>
        <w:t xml:space="preserve"> </w:t>
      </w:r>
      <w:r>
        <w:rPr>
          <w:bCs/>
          <w:b/>
        </w:rPr>
        <w:t xml:space="preserve">Business Consultant</w:t>
      </w:r>
      <w:r>
        <w:t xml:space="preserve"> </w:t>
      </w:r>
      <w:r>
        <w:t xml:space="preserve">becomes critical. However, there is a lack of empirical data regarding the specific efficacy of consulting interventions within the unique socio-economic fabric of Khartoum.</w:t>
      </w:r>
    </w:p>
    <w:p>
      <w:pPr>
        <w:pStyle w:val="BodyText"/>
      </w:pPr>
      <w:r>
        <w:t xml:space="preserve">This</w:t>
      </w:r>
      <w:r>
        <w:t xml:space="preserve"> </w:t>
      </w:r>
      <w:r>
        <w:rPr>
          <w:bCs/>
          <w:b/>
        </w:rPr>
        <w:t xml:space="preserve">Experiment Protocol</w:t>
      </w:r>
      <w:r>
        <w:t xml:space="preserve"> </w:t>
      </w:r>
      <w:r>
        <w:t xml:space="preserve">outlines a structured approach to evaluate how targeted consulting services influence operational efficiency, revenue growth, and strategic resilience among SMEs in Khartoum. By isolating variables and measuring outcomes, this study aims to provide actionable insights for stakeholders, including local entrepreneurs, international aid organizations, and consulting firms operating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professional</w:t>
      </w:r>
      <w:r>
        <w:t xml:space="preserve"> </w:t>
      </w:r>
      <w:r>
        <w:rPr>
          <w:bCs/>
          <w:b/>
        </w:rPr>
        <w:t xml:space="preserve">Business Consultant</w:t>
      </w:r>
      <w:r>
        <w:t xml:space="preserve"> </w:t>
      </w:r>
      <w:r>
        <w:t xml:space="preserve">guidance on the financial performance of SMEs in</w:t>
      </w:r>
      <w:r>
        <w:t xml:space="preserve"> </w:t>
      </w:r>
      <w:r>
        <w:rPr>
          <w:bCs/>
          <w:b/>
        </w:rPr>
        <w:t xml:space="preserve">Sudan Khartoum</w:t>
      </w:r>
      <w:r>
        <w:t xml:space="preserve"> </w:t>
      </w:r>
      <w:r>
        <w:t xml:space="preserve">over a six-month period.</w:t>
      </w:r>
    </w:p>
    <w:p>
      <w:pPr>
        <w:numPr>
          <w:ilvl w:val="0"/>
          <w:numId w:val="1001"/>
        </w:numPr>
        <w:pStyle w:val="Compact"/>
      </w:pPr>
      <w:r>
        <w:t xml:space="preserve">To identify which specific consulting methodologies (e.g., lean management, digital transformation, financial restructuring) yield the highest return on investment in the Khartoum market.</w:t>
      </w:r>
    </w:p>
    <w:p>
      <w:pPr>
        <w:numPr>
          <w:ilvl w:val="0"/>
          <w:numId w:val="1001"/>
        </w:numPr>
        <w:pStyle w:val="Compact"/>
      </w:pPr>
      <w:r>
        <w:t xml:space="preserve">To assess the adaptability of standard consulting frameworks to the local cultural and economic constraints of</w:t>
      </w:r>
      <w:r>
        <w:t xml:space="preserve"> </w:t>
      </w:r>
      <w:r>
        <w:rPr>
          <w:bCs/>
          <w:b/>
        </w:rPr>
        <w:t xml:space="preserve">Sudan Khartoum</w:t>
      </w:r>
      <w:r>
        <w:t xml:space="preserve">.</w:t>
      </w:r>
    </w:p>
    <w:p>
      <w:pPr>
        <w:numPr>
          <w:ilvl w:val="0"/>
          <w:numId w:val="1001"/>
        </w:numPr>
        <w:pStyle w:val="Compact"/>
      </w:pPr>
      <w:r>
        <w:t xml:space="preserve">To establish a baseline for future research on professional service delivery in emerging markets within Sudan.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divided into two groups: the Treatment Group, which will receive intensive support from a certified</w:t>
      </w:r>
      <w:r>
        <w:t xml:space="preserve"> </w:t>
      </w:r>
      <w:r>
        <w:rPr>
          <w:bCs/>
          <w:b/>
        </w:rPr>
        <w:t xml:space="preserve">Business Consultant</w:t>
      </w:r>
      <w:r>
        <w:t xml:space="preserve">, and the Control Group, which will continue operations without external intervention.</w:t>
      </w:r>
    </w:p>
    <w:bookmarkEnd w:id="22"/>
    <w:bookmarkStart w:id="23" w:name="participant-selection"/>
    <w:p>
      <w:pPr>
        <w:pStyle w:val="Heading3"/>
      </w:pPr>
      <w:r>
        <w:t xml:space="preserve">3.2 Participant Selection</w:t>
      </w:r>
    </w:p>
    <w:p>
      <w:pPr>
        <w:pStyle w:val="FirstParagraph"/>
      </w:pPr>
      <w:r>
        <w:t xml:space="preserve">The target population consists of registered SMEs located in the commercial districts of</w:t>
      </w:r>
      <w:r>
        <w:t xml:space="preserve"> </w:t>
      </w:r>
      <w:r>
        <w:rPr>
          <w:bCs/>
          <w:b/>
        </w:rPr>
        <w:t xml:space="preserve">Sudan Khartoum</w:t>
      </w:r>
      <w:r>
        <w:t xml:space="preserve">, including Khartoum North, Khartoum Bahri, and Omdurman. Inclusion criteria are as follows:</w:t>
      </w:r>
    </w:p>
    <w:p>
      <w:pPr>
        <w:numPr>
          <w:ilvl w:val="0"/>
          <w:numId w:val="1002"/>
        </w:numPr>
        <w:pStyle w:val="Compact"/>
      </w:pPr>
      <w:r>
        <w:t xml:space="preserve">Businesses must have been operational for at least two years.</w:t>
      </w:r>
    </w:p>
    <w:p>
      <w:pPr>
        <w:numPr>
          <w:ilvl w:val="0"/>
          <w:numId w:val="1002"/>
        </w:numPr>
        <w:pStyle w:val="Compact"/>
      </w:pPr>
      <w:r>
        <w:t xml:space="preserve">Employment size between 10 and 50 staff members.</w:t>
      </w:r>
    </w:p>
    <w:p>
      <w:pPr>
        <w:numPr>
          <w:ilvl w:val="0"/>
          <w:numId w:val="1002"/>
        </w:numPr>
        <w:pStyle w:val="Compact"/>
      </w:pPr>
      <w:r>
        <w:t xml:space="preserve">Willingness to share financial data and operational metrics.</w:t>
      </w:r>
    </w:p>
    <w:p>
      <w:pPr>
        <w:numPr>
          <w:ilvl w:val="0"/>
          <w:numId w:val="1002"/>
        </w:numPr>
        <w:pStyle w:val="Compact"/>
      </w:pPr>
      <w:r>
        <w:t xml:space="preserve">Ownership of a formal business license issued by the Sudanese authorities.</w:t>
      </w:r>
    </w:p>
    <w:bookmarkEnd w:id="23"/>
    <w:bookmarkStart w:id="24" w:name="intervention-strategy"/>
    <w:p>
      <w:pPr>
        <w:pStyle w:val="Heading3"/>
      </w:pPr>
      <w:r>
        <w:t xml:space="preserve">3.3 Intervention Strategy</w:t>
      </w:r>
    </w:p>
    <w:p>
      <w:pPr>
        <w:pStyle w:val="FirstParagraph"/>
      </w:pPr>
      <w:r>
        <w:t xml:space="preserve">For the Treatment Group, the</w:t>
      </w:r>
      <w:r>
        <w:t xml:space="preserve"> </w:t>
      </w:r>
      <w:r>
        <w:rPr>
          <w:bCs/>
          <w:b/>
        </w:rPr>
        <w:t xml:space="preserve">Business Consultant</w:t>
      </w:r>
      <w:r>
        <w:t xml:space="preserve"> </w:t>
      </w:r>
      <w:r>
        <w:t xml:space="preserve">will implement a structured 12-week intervention program. This program will focus on three core pillars relevant to the</w:t>
      </w:r>
      <w:r>
        <w:t xml:space="preserve"> </w:t>
      </w:r>
      <w:r>
        <w:rPr>
          <w:bCs/>
          <w:b/>
        </w:rPr>
        <w:t xml:space="preserve">Sudan Khartoum</w:t>
      </w:r>
      <w:r>
        <w:t xml:space="preserve"> </w:t>
      </w:r>
      <w:r>
        <w:t xml:space="preserve">context:</w:t>
      </w:r>
    </w:p>
    <w:p>
      <w:pPr>
        <w:numPr>
          <w:ilvl w:val="0"/>
          <w:numId w:val="1003"/>
        </w:numPr>
        <w:pStyle w:val="Compact"/>
      </w:pPr>
      <w:r>
        <w:rPr>
          <w:bCs/>
          <w:b/>
        </w:rPr>
        <w:t xml:space="preserve">Financial Resilience:</w:t>
      </w:r>
      <w:r>
        <w:t xml:space="preserve"> </w:t>
      </w:r>
      <w:r>
        <w:t xml:space="preserve">Strategies for managing inflation and currency volatility.</w:t>
      </w:r>
    </w:p>
    <w:p>
      <w:pPr>
        <w:numPr>
          <w:ilvl w:val="0"/>
          <w:numId w:val="1003"/>
        </w:numPr>
        <w:pStyle w:val="Compact"/>
      </w:pPr>
      <w:r>
        <w:rPr>
          <w:bCs/>
          <w:b/>
        </w:rPr>
        <w:t xml:space="preserve">Operational Efficiency:</w:t>
      </w:r>
      <w:r>
        <w:t xml:space="preserve"> </w:t>
      </w:r>
      <w:r>
        <w:t xml:space="preserve">Streamlining supply chains to mitigate local logistical bottlenecks.</w:t>
      </w:r>
    </w:p>
    <w:p>
      <w:pPr>
        <w:numPr>
          <w:ilvl w:val="0"/>
          <w:numId w:val="1003"/>
        </w:numPr>
        <w:pStyle w:val="Compact"/>
      </w:pPr>
      <w:r>
        <w:rPr>
          <w:bCs/>
          <w:b/>
        </w:rPr>
        <w:t xml:space="preserve">Market Expansion:</w:t>
      </w:r>
      <w:r>
        <w:t xml:space="preserve"> </w:t>
      </w:r>
      <w:r>
        <w:t xml:space="preserve">Leveraging local networks and digital platforms to reach new customers within Sudan.</w:t>
      </w:r>
    </w:p>
    <w:bookmarkEnd w:id="24"/>
    <w:bookmarkEnd w:id="25"/>
    <w:bookmarkStart w:id="26" w:name="data-collection-and-metrics"/>
    <w:p>
      <w:pPr>
        <w:pStyle w:val="Heading2"/>
      </w:pPr>
      <w:r>
        <w:t xml:space="preserve">4. Data Collection and Metrics</w:t>
      </w:r>
    </w:p>
    <w:p>
      <w:pPr>
        <w:pStyle w:val="FirstParagraph"/>
      </w:pPr>
      <w:r>
        <w:t xml:space="preserve">To ensure the validity of this</w:t>
      </w:r>
      <w:r>
        <w:t xml:space="preserve"> </w:t>
      </w:r>
      <w:r>
        <w:rPr>
          <w:bCs/>
          <w:b/>
        </w:rPr>
        <w:t xml:space="preserve">Experiment Protocol</w:t>
      </w:r>
      <w:r>
        <w:t xml:space="preserve">, data will be collected at three intervals: Baseline (Week 0), Mid-Point (Week 6), and End-Line (Week 12).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Method</w:t>
            </w:r>
          </w:p>
        </w:tc>
      </w:tr>
      <w:tr>
        <w:tc>
          <w:tcPr/>
          <w:p>
            <w:pPr>
              <w:pStyle w:val="Compact"/>
              <w:jc w:val="left"/>
            </w:pPr>
            <w:r>
              <w:t xml:space="preserve">Financial Performance</w:t>
            </w:r>
          </w:p>
        </w:tc>
        <w:tc>
          <w:tcPr/>
          <w:p>
            <w:pPr>
              <w:pStyle w:val="Compact"/>
              <w:jc w:val="left"/>
            </w:pPr>
            <w:r>
              <w:t xml:space="preserve">Net Profit Margin</w:t>
            </w:r>
          </w:p>
        </w:tc>
        <w:tc>
          <w:tcPr/>
          <w:p>
            <w:pPr>
              <w:pStyle w:val="Compact"/>
              <w:jc w:val="left"/>
            </w:pPr>
            <w:r>
              <w:t xml:space="preserve">Review of audited financial statements</w:t>
            </w:r>
          </w:p>
        </w:tc>
      </w:tr>
      <w:tr>
        <w:tc>
          <w:tcPr/>
          <w:p>
            <w:pPr>
              <w:pStyle w:val="Compact"/>
              <w:jc w:val="left"/>
            </w:pPr>
            <w:r>
              <w:t xml:space="preserve">Operational Efficiency</w:t>
            </w:r>
          </w:p>
        </w:tc>
        <w:tc>
          <w:tcPr/>
          <w:p>
            <w:pPr>
              <w:pStyle w:val="Compact"/>
              <w:jc w:val="left"/>
            </w:pPr>
            <w:r>
              <w:t xml:space="preserve">Inventory Turnover Ratio</w:t>
            </w:r>
          </w:p>
        </w:tc>
        <w:tc>
          <w:tcPr/>
          <w:p>
            <w:pPr>
              <w:pStyle w:val="Compact"/>
              <w:jc w:val="left"/>
            </w:pPr>
            <w:r>
              <w:t xml:space="preserve">Inventory management logs</w:t>
            </w:r>
          </w:p>
        </w:tc>
      </w:tr>
      <w:tr>
        <w:tc>
          <w:tcPr/>
          <w:p>
            <w:pPr>
              <w:pStyle w:val="Compact"/>
              <w:jc w:val="left"/>
            </w:pPr>
            <w:r>
              <w:t xml:space="preserve">Strategic Adaptation</w:t>
            </w:r>
          </w:p>
        </w:tc>
        <w:tc>
          <w:tcPr/>
          <w:p>
            <w:pPr>
              <w:pStyle w:val="Compact"/>
              <w:jc w:val="left"/>
            </w:pPr>
            <w:r>
              <w:t xml:space="preserve">Implementation of Consultant Recommendations</w:t>
            </w:r>
          </w:p>
        </w:tc>
        <w:tc>
          <w:tcPr/>
          <w:p>
            <w:pPr>
              <w:pStyle w:val="Compact"/>
              <w:jc w:val="left"/>
            </w:pPr>
            <w:r>
              <w:t xml:space="preserve">Checklist assessment by independent evaluator</w:t>
            </w:r>
          </w:p>
        </w:tc>
      </w:tr>
      <w:tr>
        <w:tc>
          <w:tcPr/>
          <w:p>
            <w:pPr>
              <w:pStyle w:val="Compact"/>
              <w:jc w:val="left"/>
            </w:pPr>
            <w:r>
              <w:t xml:space="preserve">Employee Satisfaction</w:t>
            </w:r>
          </w:p>
        </w:tc>
        <w:tc>
          <w:tcPr/>
          <w:p>
            <w:pPr>
              <w:pStyle w:val="Compact"/>
              <w:jc w:val="left"/>
            </w:pPr>
            <w:r>
              <w:t xml:space="preserve">Staff Retention Rate</w:t>
            </w:r>
          </w:p>
        </w:tc>
        <w:tc>
          <w:tcPr/>
          <w:p>
            <w:pPr>
              <w:pStyle w:val="Compact"/>
              <w:jc w:val="left"/>
            </w:pPr>
            <w:r>
              <w:t xml:space="preserve">HR records analysis</w:t>
            </w:r>
          </w:p>
        </w:tc>
      </w:tr>
    </w:tbl>
    <w:bookmarkEnd w:id="26"/>
    <w:bookmarkStart w:id="27" w:name="X882c2c8d694e279221b9974374178f74b03f957"/>
    <w:p>
      <w:pPr>
        <w:pStyle w:val="Heading2"/>
      </w:pPr>
      <w:r>
        <w:t xml:space="preserve">5. Ethical Considerations and Risk Management</w:t>
      </w:r>
    </w:p>
    <w:p>
      <w:pPr>
        <w:pStyle w:val="FirstParagraph"/>
      </w:pPr>
      <w:r>
        <w:t xml:space="preserve">Conducting this</w:t>
      </w:r>
      <w:r>
        <w:t xml:space="preserve"> </w:t>
      </w:r>
      <w:r>
        <w:rPr>
          <w:bCs/>
          <w:b/>
        </w:rPr>
        <w:t xml:space="preserve">Experiment Protocol</w:t>
      </w:r>
      <w:r>
        <w:t xml:space="preserve"> </w:t>
      </w:r>
      <w:r>
        <w:t xml:space="preserve">in</w:t>
      </w:r>
      <w:r>
        <w:t xml:space="preserve"> </w:t>
      </w:r>
      <w:r>
        <w:rPr>
          <w:bCs/>
          <w:b/>
        </w:rPr>
        <w:t xml:space="preserve">Sudan Khartoum</w:t>
      </w:r>
      <w:r>
        <w:t xml:space="preserve"> </w:t>
      </w:r>
      <w:r>
        <w:t xml:space="preserve">requires strict adherence to ethical standards. All participants will provide informed consent, understanding that their data will be used for research purposes only. Confidentiality is paramount, especially given the sensitive nature of financial data in the current economic climate.</w:t>
      </w:r>
    </w:p>
    <w:p>
      <w:pPr>
        <w:pStyle w:val="BodyText"/>
      </w:pPr>
      <w:r>
        <w:t xml:space="preserve">Risk management strategies include:</w:t>
      </w:r>
    </w:p>
    <w:p>
      <w:pPr>
        <w:numPr>
          <w:ilvl w:val="0"/>
          <w:numId w:val="1004"/>
        </w:numPr>
        <w:pStyle w:val="Compact"/>
      </w:pPr>
      <w:r>
        <w:rPr>
          <w:bCs/>
          <w:b/>
        </w:rPr>
        <w:t xml:space="preserve">Data Security:</w:t>
      </w:r>
      <w:r>
        <w:t xml:space="preserve"> </w:t>
      </w:r>
      <w:r>
        <w:t xml:space="preserve">All digital records will be encrypted and stored on secure servers outside the immediate operational zone to prevent unauthorized access.</w:t>
      </w:r>
    </w:p>
    <w:p>
      <w:pPr>
        <w:numPr>
          <w:ilvl w:val="0"/>
          <w:numId w:val="1004"/>
        </w:numPr>
        <w:pStyle w:val="Compact"/>
      </w:pPr>
      <w:r>
        <w:rPr>
          <w:bCs/>
          <w:b/>
        </w:rPr>
        <w:t xml:space="preserve">Political Neutrality:</w:t>
      </w:r>
      <w:r>
        <w:t xml:space="preserve"> </w:t>
      </w:r>
      <w:r>
        <w:t xml:space="preserve">The</w:t>
      </w:r>
      <w:r>
        <w:t xml:space="preserve"> </w:t>
      </w:r>
      <w:r>
        <w:rPr>
          <w:bCs/>
          <w:b/>
        </w:rPr>
        <w:t xml:space="preserve">Business Consultant</w:t>
      </w:r>
      <w:r>
        <w:t xml:space="preserve"> </w:t>
      </w:r>
      <w:r>
        <w:t xml:space="preserve">and research team will maintain strict neutrality regarding local political dynamics to ensure the safety and impartiality of the study.</w:t>
      </w:r>
    </w:p>
    <w:p>
      <w:pPr>
        <w:numPr>
          <w:ilvl w:val="0"/>
          <w:numId w:val="1004"/>
        </w:numPr>
        <w:pStyle w:val="Compact"/>
      </w:pPr>
      <w:r>
        <w:rPr>
          <w:bCs/>
          <w:b/>
        </w:rPr>
        <w:t xml:space="preserve">Contingency Planning:</w:t>
      </w:r>
      <w:r>
        <w:t xml:space="preserve"> </w:t>
      </w:r>
      <w:r>
        <w:t xml:space="preserve">Protocols are in place to pause or relocate data collection activities should security conditions in Khartoum deteriorate.</w:t>
      </w:r>
    </w:p>
    <w:bookmarkEnd w:id="27"/>
    <w:bookmarkStart w:id="28" w:name="timeline-and-deliverables"/>
    <w:p>
      <w:pPr>
        <w:pStyle w:val="Heading2"/>
      </w:pPr>
      <w:r>
        <w:t xml:space="preserve">6. Timeline and Deliverables</w:t>
      </w:r>
    </w:p>
    <w:p>
      <w:pPr>
        <w:pStyle w:val="FirstParagraph"/>
      </w:pPr>
      <w:r>
        <w:t xml:space="preserve">The experiment is scheduled to run for a total of 16 weeks:</w:t>
      </w:r>
    </w:p>
    <w:p>
      <w:pPr>
        <w:numPr>
          <w:ilvl w:val="0"/>
          <w:numId w:val="1005"/>
        </w:numPr>
        <w:pStyle w:val="Compact"/>
      </w:pPr>
      <w:r>
        <w:rPr>
          <w:bCs/>
          <w:b/>
        </w:rPr>
        <w:t xml:space="preserve">Weeks 1-2:</w:t>
      </w:r>
      <w:r>
        <w:t xml:space="preserve"> </w:t>
      </w:r>
      <w:r>
        <w:t xml:space="preserve">Recruitment and randomization of SMEs in</w:t>
      </w:r>
      <w:r>
        <w:t xml:space="preserve"> </w:t>
      </w:r>
      <w:r>
        <w:rPr>
          <w:bCs/>
          <w:b/>
        </w:rPr>
        <w:t xml:space="preserve">Sudan Khartoum</w:t>
      </w:r>
      <w:r>
        <w:t xml:space="preserve">.</w:t>
      </w:r>
    </w:p>
    <w:p>
      <w:pPr>
        <w:numPr>
          <w:ilvl w:val="0"/>
          <w:numId w:val="1005"/>
        </w:numPr>
        <w:pStyle w:val="Compact"/>
      </w:pPr>
      <w:r>
        <w:rPr>
          <w:bCs/>
          <w:b/>
        </w:rPr>
        <w:t xml:space="preserve">Week 3:</w:t>
      </w:r>
      <w:r>
        <w:t xml:space="preserve"> </w:t>
      </w:r>
      <w:r>
        <w:t xml:space="preserve">Baseline data collection.</w:t>
      </w:r>
    </w:p>
    <w:p>
      <w:pPr>
        <w:numPr>
          <w:ilvl w:val="0"/>
          <w:numId w:val="1005"/>
        </w:numPr>
        <w:pStyle w:val="Compact"/>
      </w:pPr>
      <w:r>
        <w:rPr>
          <w:bCs/>
          <w:b/>
        </w:rPr>
        <w:t xml:space="preserve">Weeks 4-15:</w:t>
      </w:r>
      <w:r>
        <w:t xml:space="preserve"> </w:t>
      </w:r>
      <w:r>
        <w:t xml:space="preserve">Implementation of the</w:t>
      </w:r>
      <w:r>
        <w:t xml:space="preserve"> </w:t>
      </w:r>
      <w:r>
        <w:rPr>
          <w:bCs/>
          <w:b/>
        </w:rPr>
        <w:t xml:space="preserve">Business Consultant</w:t>
      </w:r>
      <w:r>
        <w:t xml:space="preserve"> </w:t>
      </w:r>
      <w:r>
        <w:t xml:space="preserve">intervention for the Treatment Group.</w:t>
      </w:r>
    </w:p>
    <w:p>
      <w:pPr>
        <w:numPr>
          <w:ilvl w:val="0"/>
          <w:numId w:val="1005"/>
        </w:numPr>
        <w:pStyle w:val="Compact"/>
      </w:pPr>
      <w:r>
        <w:rPr>
          <w:bCs/>
          <w:b/>
        </w:rPr>
        <w:t xml:space="preserve">Week 16:</w:t>
      </w:r>
      <w:r>
        <w:t xml:space="preserve"> </w:t>
      </w:r>
      <w:r>
        <w:t xml:space="preserve">Final data collection and preliminary analysis.</w:t>
      </w:r>
    </w:p>
    <w:p>
      <w:pPr>
        <w:pStyle w:val="FirstParagraph"/>
      </w:pPr>
      <w:r>
        <w:t xml:space="preserve">The final deliverable will be a comprehensive report detailing the efficacy of the consulting interventions, providing a roadmap for scaling successful models across the broader Sudanese economy.</w:t>
      </w:r>
    </w:p>
    <w:bookmarkEnd w:id="28"/>
    <w:bookmarkStart w:id="29" w:name="conclusion"/>
    <w:p>
      <w:pPr>
        <w:pStyle w:val="Heading3"/>
      </w:pPr>
      <w:r>
        <w:t xml:space="preserve">Conclusion</w:t>
      </w:r>
    </w:p>
    <w:p>
      <w:pPr>
        <w:pStyle w:val="FirstParagraph"/>
      </w:pPr>
      <w:r>
        <w:t xml:space="preserve">This</w:t>
      </w:r>
      <w:r>
        <w:t xml:space="preserve"> </w:t>
      </w:r>
      <w:r>
        <w:rPr>
          <w:bCs/>
          <w:b/>
        </w:rPr>
        <w:t xml:space="preserve">Experiment Protocol</w:t>
      </w:r>
      <w:r>
        <w:t xml:space="preserve"> </w:t>
      </w:r>
      <w:r>
        <w:t xml:space="preserve">represents a rigorous attempt to bridge the gap between theoretical business advice and practical application in</w:t>
      </w:r>
      <w:r>
        <w:t xml:space="preserve"> </w:t>
      </w:r>
      <w:r>
        <w:rPr>
          <w:bCs/>
          <w:b/>
        </w:rPr>
        <w:t xml:space="preserve">Sudan Khartoum</w:t>
      </w:r>
      <w:r>
        <w:t xml:space="preserve">. By systematically evaluating the role of the</w:t>
      </w:r>
      <w:r>
        <w:t xml:space="preserve"> </w:t>
      </w:r>
      <w:r>
        <w:rPr>
          <w:bCs/>
          <w:b/>
        </w:rPr>
        <w:t xml:space="preserve">Business Consultant</w:t>
      </w:r>
      <w:r>
        <w:t xml:space="preserve">, this study aims to empower local enterprises to navigate complex challenges and achieve sustainable growth. The findings will not only benefit the participating businesses but also contribute to the broader understanding of economic development strategies in Sudan.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Impact in Sudan Khartoum</dc:title>
  <dc:creator/>
  <dc:language>en</dc:language>
  <cp:keywords/>
  <dcterms:created xsi:type="dcterms:W3CDTF">2026-10-10T08:37:29Z</dcterms:created>
  <dcterms:modified xsi:type="dcterms:W3CDTF">2026-10-10T08:37:29Z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