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Business</w:t>
      </w:r>
      <w:r>
        <w:t xml:space="preserve"> </w:t>
      </w:r>
      <w:r>
        <w:t xml:space="preserve">Consultant</w:t>
      </w:r>
      <w:r>
        <w:t xml:space="preserve"> </w:t>
      </w:r>
      <w:r>
        <w:t xml:space="preserve">Efficacy</w:t>
      </w:r>
      <w:r>
        <w:t xml:space="preserve"> </w:t>
      </w:r>
      <w:r>
        <w:t xml:space="preserve">in</w:t>
      </w:r>
      <w:r>
        <w:t xml:space="preserve"> </w:t>
      </w:r>
      <w:r>
        <w:t xml:space="preserve">Turkey</w:t>
      </w:r>
      <w:r>
        <w:t xml:space="preserve"> </w:t>
      </w:r>
      <w:r>
        <w:t xml:space="preserve">Ankara</w:t>
      </w:r>
    </w:p>
    <w:bookmarkStart w:id="20" w:name="X11850f252cd8a4152eb6664671f64faba9489a4"/>
    <w:p>
      <w:pPr>
        <w:pStyle w:val="Heading1"/>
      </w:pPr>
      <w:r>
        <w:t xml:space="preserve">Experiment Protocol: Business Consultant Efficacy in Turkey Ankara</w:t>
      </w:r>
    </w:p>
    <w:p>
      <w:pPr>
        <w:pStyle w:val="FirstParagraph"/>
      </w:pPr>
      <w:r>
        <w:rPr>
          <w:bCs/>
          <w:b/>
        </w:rPr>
        <w:t xml:space="preserve">Document ID:</w:t>
      </w:r>
      <w:r>
        <w:t xml:space="preserve"> </w:t>
      </w:r>
      <w:r>
        <w:t xml:space="preserve">BP-TA-2023-001</w:t>
      </w:r>
    </w:p>
    <w:p>
      <w:pPr>
        <w:pStyle w:val="BodyText"/>
      </w:pPr>
      <w:r>
        <w:rPr>
          <w:bCs/>
          <w:b/>
        </w:rPr>
        <w:t xml:space="preserve">Date:</w:t>
      </w:r>
      <w:r>
        <w:t xml:space="preserve"> </w:t>
      </w:r>
      <w:r>
        <w:t xml:space="preserve">October 26, 2023</w:t>
      </w:r>
    </w:p>
    <w:p>
      <w:pPr>
        <w:pStyle w:val="BodyText"/>
      </w:pPr>
      <w:r>
        <w:rPr>
          <w:bCs/>
          <w:b/>
        </w:rPr>
        <w:t xml:space="preserve">Location:</w:t>
      </w:r>
      <w:r>
        <w:t xml:space="preserve"> </w:t>
      </w:r>
      <w:r>
        <w:t xml:space="preserve">Ankara, Turkey</w:t>
      </w:r>
    </w:p>
    <w:p>
      <w:pPr>
        <w:pStyle w:val="BodyText"/>
      </w:pPr>
      <w:r>
        <w:rPr>
          <w:bCs/>
          <w:b/>
        </w:rPr>
        <w:t xml:space="preserve">Subject:</w:t>
      </w:r>
      <w:r>
        <w:t xml:space="preserve"> </w:t>
      </w:r>
      <w:r>
        <w:t xml:space="preserve">Quantitative and Qualitative Analysis of Business Consultant Impact on SME Growth</w:t>
      </w:r>
    </w:p>
    <w:bookmarkEnd w:id="20"/>
    <w:p>
      <w:pPr>
        <w:pStyle w:val="BodyText"/>
      </w:pPr>
      <w:r>
        <w:t xml:space="preserve">1. Introduction and Background</w:t>
      </w:r>
    </w:p>
    <w:p>
      <w:pPr>
        <w:pStyle w:val="BodyText"/>
      </w:pPr>
      <w:r>
        <w:t xml:space="preserve">This Experiment Protocol outlines the methodology for assessing the tangible impact of professional Business Consultant services on Small and Medium-sized Enterprises (SMEs) located in Turkey Ankara. As the capital city of Turkey, Ankara represents a unique economic ecosystem characterized by a high concentration of government entities, defense contractors, technology startups, and traditional manufacturing firms. The regulatory environment in Turkey Ankara is distinct, requiring consultants to possess specific local knowledge regarding Turkish Commercial Code compliance, tax regulations, and bureaucratic procedures.</w:t>
      </w:r>
    </w:p>
    <w:p>
      <w:pPr>
        <w:pStyle w:val="BodyText"/>
      </w:pPr>
      <w:r>
        <w:t xml:space="preserve">The primary objective of this experiment is to determine whether the engagement of a certified Business Consultant leads to statistically significant improvements in operational efficiency, revenue growth, and regulatory compliance compared to firms operating without external advisory support. This study aims to provide empirical data to validate the return on investment (ROI) for consulting services within the specific socio-economic context of Ankara.</w:t>
      </w:r>
    </w:p>
    <w:p>
      <w:pPr>
        <w:pStyle w:val="BodyText"/>
      </w:pPr>
      <w:r>
        <w:t xml:space="preserve">2. Objectives</w:t>
      </w:r>
    </w:p>
    <w:p>
      <w:pPr>
        <w:pStyle w:val="BodyText"/>
      </w:pPr>
      <w:r>
        <w:t xml:space="preserve">The specific objectives of this experiment are as follows:</w:t>
      </w:r>
    </w:p>
    <w:p>
      <w:pPr>
        <w:numPr>
          <w:ilvl w:val="0"/>
          <w:numId w:val="1001"/>
        </w:numPr>
        <w:pStyle w:val="Compact"/>
      </w:pPr>
      <w:r>
        <w:t xml:space="preserve">To measure the change in net profit margins of participating SMEs in Turkey Ankara over a six-month period following the intervention of a Business Consultant.</w:t>
      </w:r>
    </w:p>
    <w:p>
      <w:pPr>
        <w:numPr>
          <w:ilvl w:val="0"/>
          <w:numId w:val="1001"/>
        </w:numPr>
        <w:pStyle w:val="Compact"/>
      </w:pPr>
      <w:r>
        <w:t xml:space="preserve">To evaluate the improvement in organizational structure and workflow efficiency using standardized productivity metrics.</w:t>
      </w:r>
    </w:p>
    <w:p>
      <w:pPr>
        <w:numPr>
          <w:ilvl w:val="0"/>
          <w:numId w:val="1001"/>
        </w:numPr>
        <w:pStyle w:val="Compact"/>
      </w:pPr>
      <w:r>
        <w:t xml:space="preserve">To assess the level of regulatory compliance achieved by firms utilizing a Business Consultant versus those that do not.</w:t>
      </w:r>
    </w:p>
    <w:p>
      <w:pPr>
        <w:numPr>
          <w:ilvl w:val="0"/>
          <w:numId w:val="1001"/>
        </w:numPr>
        <w:pStyle w:val="Compact"/>
      </w:pPr>
      <w:r>
        <w:t xml:space="preserve">To analyze the qualitative feedback from business owners in Ankara regarding the strategic value provided by consultants.</w:t>
      </w:r>
    </w:p>
    <w:p>
      <w:pPr>
        <w:pStyle w:val="FirstParagraph"/>
      </w:pPr>
      <w:r>
        <w:t xml:space="preserve">3. Methodology</w:t>
      </w:r>
    </w:p>
    <w:p>
      <w:pPr>
        <w:pStyle w:val="BodyText"/>
      </w:pPr>
      <w:r>
        <w:t xml:space="preserve">This experiment will utilize a quasi-experimental design with a control group and a treatment group. The study will be conducted strictly within the metropolitan boundaries of Turkey Ankara to ensure consistency in market conditions and regulatory frameworks.</w:t>
      </w:r>
    </w:p>
    <w:bookmarkStart w:id="21" w:name="participants"/>
    <w:p>
      <w:pPr>
        <w:pStyle w:val="Heading3"/>
      </w:pPr>
      <w:r>
        <w:t xml:space="preserve">3.1 Participants</w:t>
      </w:r>
    </w:p>
    <w:p>
      <w:pPr>
        <w:pStyle w:val="FirstParagraph"/>
      </w:pPr>
      <w:r>
        <w:t xml:space="preserve">A total of 60 SMEs will be selected from various districts in Ankara, including Çankaya, Yenimahalle, and Mamak. Participants will be stratified by industry sector (Technology, Manufacturing, Retail, and Services) to ensure a representative sample of the Ankara economy.</w:t>
      </w:r>
    </w:p>
    <w:p>
      <w:pPr>
        <w:numPr>
          <w:ilvl w:val="0"/>
          <w:numId w:val="1002"/>
        </w:numPr>
        <w:pStyle w:val="Compact"/>
      </w:pPr>
      <w:r>
        <w:rPr>
          <w:bCs/>
          <w:b/>
        </w:rPr>
        <w:t xml:space="preserve">Treatment Group (n=30):</w:t>
      </w:r>
      <w:r>
        <w:t xml:space="preserve"> </w:t>
      </w:r>
      <w:r>
        <w:t xml:space="preserve">SMEs that will engage a qualified Business Consultant for a duration of six months.</w:t>
      </w:r>
    </w:p>
    <w:p>
      <w:pPr>
        <w:numPr>
          <w:ilvl w:val="0"/>
          <w:numId w:val="1002"/>
        </w:numPr>
        <w:pStyle w:val="Compact"/>
      </w:pPr>
      <w:r>
        <w:rPr>
          <w:bCs/>
          <w:b/>
        </w:rPr>
        <w:t xml:space="preserve">Control Group (n=30):</w:t>
      </w:r>
      <w:r>
        <w:t xml:space="preserve"> </w:t>
      </w:r>
      <w:r>
        <w:t xml:space="preserve">SMEs that will continue operations without external consulting support during the same period.</w:t>
      </w:r>
    </w:p>
    <w:bookmarkEnd w:id="21"/>
    <w:bookmarkStart w:id="22" w:name="selection-criteria"/>
    <w:p>
      <w:pPr>
        <w:pStyle w:val="Heading3"/>
      </w:pPr>
      <w:r>
        <w:t xml:space="preserve">3.2 Selection Criteria</w:t>
      </w:r>
    </w:p>
    <w:p>
      <w:pPr>
        <w:pStyle w:val="FirstParagraph"/>
      </w:pPr>
      <w:r>
        <w:t xml:space="preserve">To ensure validity, all participating businesses must meet the following criteria:</w:t>
      </w:r>
    </w:p>
    <w:p>
      <w:pPr>
        <w:numPr>
          <w:ilvl w:val="0"/>
          <w:numId w:val="1003"/>
        </w:numPr>
        <w:pStyle w:val="Compact"/>
      </w:pPr>
      <w:r>
        <w:t xml:space="preserve">Registered and operating legally in Turkey Ankara for at least three years.</w:t>
      </w:r>
    </w:p>
    <w:p>
      <w:pPr>
        <w:numPr>
          <w:ilvl w:val="0"/>
          <w:numId w:val="1003"/>
        </w:numPr>
        <w:pStyle w:val="Compact"/>
      </w:pPr>
      <w:r>
        <w:t xml:space="preserve">Employing between 10 and 50 staff members.</w:t>
      </w:r>
    </w:p>
    <w:p>
      <w:pPr>
        <w:numPr>
          <w:ilvl w:val="0"/>
          <w:numId w:val="1003"/>
        </w:numPr>
        <w:pStyle w:val="Compact"/>
      </w:pPr>
      <w:r>
        <w:t xml:space="preserve">Annual revenue between 5 million and 50 million Turkish Lira (TRY).</w:t>
      </w:r>
    </w:p>
    <w:p>
      <w:pPr>
        <w:numPr>
          <w:ilvl w:val="0"/>
          <w:numId w:val="1003"/>
        </w:numPr>
        <w:pStyle w:val="Compact"/>
      </w:pPr>
      <w:r>
        <w:t xml:space="preserve">Willingness to share financial and operational data for the duration of the study.</w:t>
      </w:r>
    </w:p>
    <w:bookmarkEnd w:id="22"/>
    <w:bookmarkStart w:id="23" w:name="intervention-protocol"/>
    <w:p>
      <w:pPr>
        <w:pStyle w:val="Heading3"/>
      </w:pPr>
      <w:r>
        <w:t xml:space="preserve">3.3 Intervention Protocol</w:t>
      </w:r>
    </w:p>
    <w:p>
      <w:pPr>
        <w:pStyle w:val="FirstParagraph"/>
      </w:pPr>
      <w:r>
        <w:t xml:space="preserve">For the Treatment Group, the Business Consultant will implement a standardized advisory framework tailored to the Turkish market. This includes:</w:t>
      </w:r>
    </w:p>
    <w:p>
      <w:pPr>
        <w:numPr>
          <w:ilvl w:val="0"/>
          <w:numId w:val="1004"/>
        </w:numPr>
        <w:pStyle w:val="Compact"/>
      </w:pPr>
      <w:r>
        <w:rPr>
          <w:bCs/>
          <w:b/>
        </w:rPr>
        <w:t xml:space="preserve">Strategic Planning:</w:t>
      </w:r>
      <w:r>
        <w:t xml:space="preserve"> </w:t>
      </w:r>
      <w:r>
        <w:t xml:space="preserve">Development of a 12-month strategic roadmap aligned with Ankara's economic trends.</w:t>
      </w:r>
    </w:p>
    <w:p>
      <w:pPr>
        <w:numPr>
          <w:ilvl w:val="0"/>
          <w:numId w:val="1004"/>
        </w:numPr>
        <w:pStyle w:val="Compact"/>
      </w:pPr>
      <w:r>
        <w:rPr>
          <w:bCs/>
          <w:b/>
        </w:rPr>
        <w:t xml:space="preserve">Operational Optimization:</w:t>
      </w:r>
      <w:r>
        <w:t xml:space="preserve"> </w:t>
      </w:r>
      <w:r>
        <w:t xml:space="preserve">Streamlining processes to reduce waste and improve productivity.</w:t>
      </w:r>
    </w:p>
    <w:p>
      <w:pPr>
        <w:numPr>
          <w:ilvl w:val="0"/>
          <w:numId w:val="1004"/>
        </w:numPr>
        <w:pStyle w:val="Compact"/>
      </w:pPr>
      <w:r>
        <w:rPr>
          <w:bCs/>
          <w:b/>
        </w:rPr>
        <w:t xml:space="preserve">Regulatory Compliance:</w:t>
      </w:r>
      <w:r>
        <w:t xml:space="preserve"> </w:t>
      </w:r>
      <w:r>
        <w:t xml:space="preserve">Ensuring adherence to Turkish labor laws, tax codes, and sector-specific regulations.</w:t>
      </w:r>
    </w:p>
    <w:p>
      <w:pPr>
        <w:numPr>
          <w:ilvl w:val="0"/>
          <w:numId w:val="1004"/>
        </w:numPr>
        <w:pStyle w:val="Compact"/>
      </w:pPr>
      <w:r>
        <w:rPr>
          <w:bCs/>
          <w:b/>
        </w:rPr>
        <w:t xml:space="preserve">Financial Management:</w:t>
      </w:r>
      <w:r>
        <w:t xml:space="preserve"> </w:t>
      </w:r>
      <w:r>
        <w:t xml:space="preserve">Implementing robust financial controls and forecasting models.</w:t>
      </w:r>
    </w:p>
    <w:bookmarkEnd w:id="23"/>
    <w:p>
      <w:pPr>
        <w:pStyle w:val="FirstParagraph"/>
      </w:pPr>
      <w:r>
        <w:t xml:space="preserve">4. Data Collection</w:t>
      </w:r>
    </w:p>
    <w:p>
      <w:pPr>
        <w:pStyle w:val="BodyText"/>
      </w:pPr>
      <w:r>
        <w:t xml:space="preserve">Data will be collected at three intervals: Baseline (Month 0), Mid-term (Month 3), and End-term (Month 6). The following metrics will be tracked:</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Metric</w:t>
            </w:r>
          </w:p>
        </w:tc>
        <w:tc>
          <w:tcPr/>
          <w:p>
            <w:pPr>
              <w:pStyle w:val="Compact"/>
              <w:jc w:val="left"/>
            </w:pPr>
            <w:r>
              <w:t xml:space="preserve">Description</w:t>
            </w:r>
          </w:p>
        </w:tc>
        <w:tc>
          <w:tcPr/>
          <w:p>
            <w:pPr>
              <w:pStyle w:val="Compact"/>
              <w:jc w:val="left"/>
            </w:pPr>
            <w:r>
              <w:t xml:space="preserve">Source</w:t>
            </w:r>
          </w:p>
        </w:tc>
      </w:tr>
      <w:tr>
        <w:tc>
          <w:tcPr/>
          <w:p>
            <w:pPr>
              <w:pStyle w:val="Compact"/>
              <w:jc w:val="left"/>
            </w:pPr>
            <w:r>
              <w:t xml:space="preserve">Financial Performance</w:t>
            </w:r>
          </w:p>
        </w:tc>
        <w:tc>
          <w:tcPr/>
          <w:p>
            <w:pPr>
              <w:pStyle w:val="Compact"/>
              <w:jc w:val="left"/>
            </w:pPr>
            <w:r>
              <w:t xml:space="preserve">Net profit, revenue growth, cost reduction</w:t>
            </w:r>
          </w:p>
        </w:tc>
        <w:tc>
          <w:tcPr/>
          <w:p>
            <w:pPr>
              <w:pStyle w:val="Compact"/>
              <w:jc w:val="left"/>
            </w:pPr>
            <w:r>
              <w:t xml:space="preserve">Financial Statements</w:t>
            </w:r>
          </w:p>
        </w:tc>
      </w:tr>
      <w:tr>
        <w:tc>
          <w:tcPr/>
          <w:p>
            <w:pPr>
              <w:pStyle w:val="Compact"/>
              <w:jc w:val="left"/>
            </w:pPr>
            <w:r>
              <w:t xml:space="preserve">Operational Efficiency</w:t>
            </w:r>
          </w:p>
        </w:tc>
        <w:tc>
          <w:tcPr/>
          <w:p>
            <w:pPr>
              <w:pStyle w:val="Compact"/>
              <w:jc w:val="left"/>
            </w:pPr>
            <w:r>
              <w:t xml:space="preserve">Production output, service delivery time, error rates</w:t>
            </w:r>
          </w:p>
        </w:tc>
        <w:tc>
          <w:tcPr/>
          <w:p>
            <w:pPr>
              <w:pStyle w:val="Compact"/>
              <w:jc w:val="left"/>
            </w:pPr>
            <w:r>
              <w:t xml:space="preserve">Internal Records</w:t>
            </w:r>
          </w:p>
        </w:tc>
      </w:tr>
      <w:tr>
        <w:tc>
          <w:tcPr/>
          <w:p>
            <w:pPr>
              <w:pStyle w:val="Compact"/>
              <w:jc w:val="left"/>
            </w:pPr>
            <w:r>
              <w:t xml:space="preserve">Compliance Status</w:t>
            </w:r>
          </w:p>
        </w:tc>
        <w:tc>
          <w:tcPr/>
          <w:p>
            <w:pPr>
              <w:pStyle w:val="Compact"/>
              <w:jc w:val="left"/>
            </w:pPr>
            <w:r>
              <w:t xml:space="preserve">Number of regulatory violations, audit results</w:t>
            </w:r>
          </w:p>
        </w:tc>
        <w:tc>
          <w:tcPr/>
          <w:p>
            <w:pPr>
              <w:pStyle w:val="Compact"/>
              <w:jc w:val="left"/>
            </w:pPr>
            <w:r>
              <w:t xml:space="preserve">Government Reports</w:t>
            </w:r>
          </w:p>
        </w:tc>
      </w:tr>
      <w:tr>
        <w:tc>
          <w:tcPr/>
          <w:p>
            <w:pPr>
              <w:pStyle w:val="Compact"/>
              <w:jc w:val="left"/>
            </w:pPr>
            <w:r>
              <w:t xml:space="preserve">Employee Satisfaction</w:t>
            </w:r>
          </w:p>
        </w:tc>
        <w:tc>
          <w:tcPr/>
          <w:p>
            <w:pPr>
              <w:pStyle w:val="Compact"/>
              <w:jc w:val="left"/>
            </w:pPr>
            <w:r>
              <w:t xml:space="preserve">Staff turnover rate, engagement survey scores</w:t>
            </w:r>
          </w:p>
        </w:tc>
        <w:tc>
          <w:tcPr/>
          <w:p>
            <w:pPr>
              <w:pStyle w:val="Compact"/>
              <w:jc w:val="left"/>
            </w:pPr>
            <w:r>
              <w:t xml:space="preserve">HR Surveys</w:t>
            </w:r>
          </w:p>
        </w:tc>
      </w:tr>
    </w:tbl>
    <w:p>
      <w:pPr>
        <w:pStyle w:val="BodyText"/>
      </w:pPr>
      <w:r>
        <w:t xml:space="preserve">5. Ethical Considerations</w:t>
      </w:r>
    </w:p>
    <w:p>
      <w:pPr>
        <w:pStyle w:val="BodyText"/>
      </w:pPr>
      <w:r>
        <w:t xml:space="preserve">This experiment adheres to the ethical guidelines for business research in Turkey. All participants will provide informed consent, and their data will be anonymized to protect confidentiality. The study has been reviewed to ensure no conflict of interest exists between the researchers and the Business Consultants involved.</w:t>
      </w:r>
    </w:p>
    <w:p>
      <w:pPr>
        <w:pStyle w:val="BodyText"/>
      </w:pPr>
      <w:r>
        <w:t xml:space="preserve">6. Timeline</w:t>
      </w:r>
    </w:p>
    <w:p>
      <w:pPr>
        <w:numPr>
          <w:ilvl w:val="0"/>
          <w:numId w:val="1005"/>
        </w:numPr>
        <w:pStyle w:val="Compact"/>
      </w:pPr>
      <w:r>
        <w:rPr>
          <w:bCs/>
          <w:b/>
        </w:rPr>
        <w:t xml:space="preserve">Month 1:</w:t>
      </w:r>
      <w:r>
        <w:t xml:space="preserve"> </w:t>
      </w:r>
      <w:r>
        <w:t xml:space="preserve">Recruitment and baseline data collection.</w:t>
      </w:r>
    </w:p>
    <w:p>
      <w:pPr>
        <w:numPr>
          <w:ilvl w:val="0"/>
          <w:numId w:val="1005"/>
        </w:numPr>
        <w:pStyle w:val="Compact"/>
      </w:pPr>
      <w:r>
        <w:rPr>
          <w:bCs/>
          <w:b/>
        </w:rPr>
        <w:t xml:space="preserve">Months 2-7:</w:t>
      </w:r>
      <w:r>
        <w:t xml:space="preserve"> </w:t>
      </w:r>
      <w:r>
        <w:t xml:space="preserve">Implementation of consulting services for the Treatment Group.</w:t>
      </w:r>
    </w:p>
    <w:p>
      <w:pPr>
        <w:numPr>
          <w:ilvl w:val="0"/>
          <w:numId w:val="1005"/>
        </w:numPr>
        <w:pStyle w:val="Compact"/>
      </w:pPr>
      <w:r>
        <w:rPr>
          <w:bCs/>
          <w:b/>
        </w:rPr>
        <w:t xml:space="preserve">Month 4:</w:t>
      </w:r>
      <w:r>
        <w:t xml:space="preserve"> </w:t>
      </w:r>
      <w:r>
        <w:t xml:space="preserve">Mid-term data collection.</w:t>
      </w:r>
    </w:p>
    <w:p>
      <w:pPr>
        <w:numPr>
          <w:ilvl w:val="0"/>
          <w:numId w:val="1005"/>
        </w:numPr>
        <w:pStyle w:val="Compact"/>
      </w:pPr>
      <w:r>
        <w:rPr>
          <w:bCs/>
          <w:b/>
        </w:rPr>
        <w:t xml:space="preserve">Month 8:</w:t>
      </w:r>
      <w:r>
        <w:t xml:space="preserve"> </w:t>
      </w:r>
      <w:r>
        <w:t xml:space="preserve">End-term data collection and analysis.</w:t>
      </w:r>
    </w:p>
    <w:p>
      <w:pPr>
        <w:numPr>
          <w:ilvl w:val="0"/>
          <w:numId w:val="1005"/>
        </w:numPr>
        <w:pStyle w:val="Compact"/>
      </w:pPr>
      <w:r>
        <w:rPr>
          <w:bCs/>
          <w:b/>
        </w:rPr>
        <w:t xml:space="preserve">Month 9:</w:t>
      </w:r>
      <w:r>
        <w:t xml:space="preserve"> </w:t>
      </w:r>
      <w:r>
        <w:t xml:space="preserve">Reporting and dissemination of findings.</w:t>
      </w:r>
    </w:p>
    <w:p>
      <w:pPr>
        <w:pStyle w:val="FirstParagraph"/>
      </w:pPr>
      <w:r>
        <w:t xml:space="preserve">7. Conclusion</w:t>
      </w:r>
    </w:p>
    <w:p>
      <w:pPr>
        <w:pStyle w:val="BodyText"/>
      </w:pPr>
      <w:r>
        <w:t xml:space="preserve">This Experiment Protocol provides a rigorous framework for evaluating the impact of Business Consultant services in Turkey Ankara. By controlling for external variables and focusing on measurable outcomes, this study will contribute valuable insights into the role of professional advisory services in driving business success within the Turkish capital. The findings will be instrumental for policymakers, business owners, and consulting firms operating in the region.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Business Consultant Efficacy in Turkey Ankara</dc:title>
  <dc:creator/>
  <dc:language>en</dc:language>
  <cp:keywords/>
  <dcterms:created xsi:type="dcterms:W3CDTF">2026-10-10T06:26:09Z</dcterms:created>
  <dcterms:modified xsi:type="dcterms:W3CDTF">2026-10-10T06:26:09Z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