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Abu</w:t>
      </w:r>
      <w:r>
        <w:t xml:space="preserve"> </w:t>
      </w:r>
      <w:r>
        <w:t xml:space="preserve">Dhabi</w:t>
      </w:r>
    </w:p>
    <w:bookmarkStart w:id="20" w:name="X8a0f38985db573105111e858b04c87414c5e0b5"/>
    <w:p>
      <w:pPr>
        <w:pStyle w:val="Heading1"/>
      </w:pPr>
      <w:r>
        <w:t xml:space="preserve">Experiment Protocol: Strategic Business Consultant Efficacy</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Abu Dhabi Department of Economic Development (ADDED) &amp; Participating SMEs</w:t>
      </w:r>
    </w:p>
    <w:bookmarkEnd w:id="20"/>
    <w:bookmarkStart w:id="21" w:name="introduction-and-background"/>
    <w:p>
      <w:pPr>
        <w:pStyle w:val="Heading2"/>
      </w:pPr>
      <w:r>
        <w:t xml:space="preserve">1. Introduction and Background</w:t>
      </w:r>
    </w:p>
    <w:p>
      <w:pPr>
        <w:pStyle w:val="FirstParagraph"/>
      </w:pPr>
      <w:r>
        <w:t xml:space="preserve">The economic landscape of the United Arab Emirates, specifically within the capital city of Abu Dhabi, is undergoing a significant transformation driven by the Abu Dhabi Economic Vision 2030. This vision emphasizes the diversification of the economy away from oil dependency towards a knowledge-based economy. In this context, the role of the Business Consultant has become pivotal. Consultants are tasked with guiding Small and Medium Enterprises (SMEs) through regulatory compliance, digital transformation, and strategic market positioning.</w:t>
      </w:r>
    </w:p>
    <w:p>
      <w:pPr>
        <w:pStyle w:val="BodyText"/>
      </w:pPr>
      <w:r>
        <w:t xml:space="preserve">However, there is a lack of empirical data quantifying the specific return on investment (ROI) and operational impact of engaging external Business Consultants in the Abu Dhabi market. This Experiment Protocol outlines a rigorous study designed to measure the efficacy of Business Consultants operating within the regulatory and cultural framework of Abu Dhabi.</w:t>
      </w:r>
    </w:p>
    <w:bookmarkEnd w:id="21"/>
    <w:bookmarkStart w:id="22" w:name="objectives"/>
    <w:p>
      <w:pPr>
        <w:pStyle w:val="Heading2"/>
      </w:pPr>
      <w:r>
        <w:t xml:space="preserve">2. Objectives</w:t>
      </w:r>
    </w:p>
    <w:p>
      <w:pPr>
        <w:pStyle w:val="FirstParagraph"/>
      </w:pPr>
      <w:r>
        <w:t xml:space="preserve">The primary objective of this experiment is to determine the causal relationship between the engagement of a certified Business Consultant and the performance metrics of SMEs in Abu Dhabi. Specific objectives include:</w:t>
      </w:r>
    </w:p>
    <w:p>
      <w:pPr>
        <w:numPr>
          <w:ilvl w:val="0"/>
          <w:numId w:val="1001"/>
        </w:numPr>
        <w:pStyle w:val="Compact"/>
      </w:pPr>
      <w:r>
        <w:t xml:space="preserve">To quantify improvements in operational efficiency within six months of consultant engagement.</w:t>
      </w:r>
    </w:p>
    <w:p>
      <w:pPr>
        <w:numPr>
          <w:ilvl w:val="0"/>
          <w:numId w:val="1001"/>
        </w:numPr>
        <w:pStyle w:val="Compact"/>
      </w:pPr>
      <w:r>
        <w:t xml:space="preserve">To assess the impact of consultant-led strategies on revenue growth in the Abu Dhabi market.</w:t>
      </w:r>
    </w:p>
    <w:p>
      <w:pPr>
        <w:numPr>
          <w:ilvl w:val="0"/>
          <w:numId w:val="1001"/>
        </w:numPr>
        <w:pStyle w:val="Compact"/>
      </w:pPr>
      <w:r>
        <w:t xml:space="preserve">To evaluate the effectiveness of consultants in navigating local regulatory requirements, including those set by the Abu Dhabi Department of Economic Development (ADDED).</w:t>
      </w:r>
    </w:p>
    <w:p>
      <w:pPr>
        <w:numPr>
          <w:ilvl w:val="0"/>
          <w:numId w:val="1001"/>
        </w:numPr>
        <w:pStyle w:val="Compact"/>
      </w:pPr>
      <w:r>
        <w:t xml:space="preserve">To analyze the cultural alignment between international consulting methodologies and local Emirati business practices.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This is considered the gold standard for establishing causality. The study will run for a duration of twelve months.</w:t>
      </w:r>
    </w:p>
    <w:bookmarkEnd w:id="23"/>
    <w:bookmarkStart w:id="24" w:name="participants"/>
    <w:p>
      <w:pPr>
        <w:pStyle w:val="Heading3"/>
      </w:pPr>
      <w:r>
        <w:t xml:space="preserve">3.2 Participants</w:t>
      </w:r>
    </w:p>
    <w:p>
      <w:pPr>
        <w:pStyle w:val="FirstParagraph"/>
      </w:pPr>
      <w:r>
        <w:t xml:space="preserve">The target population consists of SMEs registered in Abu Dhabi, specifically within the sectors of Technology, Tourism, and Professional Services. A total of 100 companies will be selected based on the following criteria:</w:t>
      </w:r>
    </w:p>
    <w:p>
      <w:pPr>
        <w:numPr>
          <w:ilvl w:val="0"/>
          <w:numId w:val="1002"/>
        </w:numPr>
        <w:pStyle w:val="Compact"/>
      </w:pPr>
      <w:r>
        <w:t xml:space="preserve">Established for at least two years in Abu Dhabi.</w:t>
      </w:r>
    </w:p>
    <w:p>
      <w:pPr>
        <w:numPr>
          <w:ilvl w:val="0"/>
          <w:numId w:val="1002"/>
        </w:numPr>
        <w:pStyle w:val="Compact"/>
      </w:pPr>
      <w:r>
        <w:t xml:space="preserve">Annual revenue between AED 1 million and AED 20 million.</w:t>
      </w:r>
    </w:p>
    <w:p>
      <w:pPr>
        <w:numPr>
          <w:ilvl w:val="0"/>
          <w:numId w:val="1002"/>
        </w:numPr>
        <w:pStyle w:val="Compact"/>
      </w:pPr>
      <w:r>
        <w:t xml:space="preserve">No prior engagement with a strategic Business Consultant in the last 18 months.</w:t>
      </w:r>
    </w:p>
    <w:bookmarkEnd w:id="24"/>
    <w:bookmarkStart w:id="25" w:name="group-allocation"/>
    <w:p>
      <w:pPr>
        <w:pStyle w:val="Heading3"/>
      </w:pPr>
      <w:r>
        <w:t xml:space="preserve">3.3 Group Allocation</w:t>
      </w:r>
    </w:p>
    <w:p>
      <w:pPr>
        <w:pStyle w:val="FirstParagraph"/>
      </w:pPr>
      <w:r>
        <w:t xml:space="preserve">Participants will be randomly assigned to one of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Intervention</w:t>
            </w:r>
          </w:p>
        </w:tc>
      </w:tr>
      <w:tr>
        <w:tc>
          <w:tcPr/>
          <w:p>
            <w:pPr>
              <w:pStyle w:val="Compact"/>
              <w:jc w:val="left"/>
            </w:pPr>
            <w:r>
              <w:t xml:space="preserve">Control Group (n=50)</w:t>
            </w:r>
          </w:p>
        </w:tc>
        <w:tc>
          <w:tcPr/>
          <w:p>
            <w:pPr>
              <w:pStyle w:val="Compact"/>
              <w:jc w:val="left"/>
            </w:pPr>
            <w:r>
              <w:t xml:space="preserve">Businesses operating as usual.</w:t>
            </w:r>
          </w:p>
        </w:tc>
        <w:tc>
          <w:tcPr/>
          <w:p>
            <w:pPr>
              <w:pStyle w:val="Compact"/>
              <w:jc w:val="left"/>
            </w:pPr>
            <w:r>
              <w:t xml:space="preserve">No external Business Consultant engagement. Standard access to government resources only.</w:t>
            </w:r>
          </w:p>
        </w:tc>
      </w:tr>
      <w:tr>
        <w:tc>
          <w:tcPr/>
          <w:p>
            <w:pPr>
              <w:pStyle w:val="Compact"/>
              <w:jc w:val="left"/>
            </w:pPr>
            <w:r>
              <w:t xml:space="preserve">Treatment Group (n=50)</w:t>
            </w:r>
          </w:p>
        </w:tc>
        <w:tc>
          <w:tcPr/>
          <w:p>
            <w:pPr>
              <w:pStyle w:val="Compact"/>
              <w:jc w:val="left"/>
            </w:pPr>
            <w:r>
              <w:t xml:space="preserve">Businesses receiving intervention.</w:t>
            </w:r>
          </w:p>
        </w:tc>
        <w:tc>
          <w:tcPr/>
          <w:p>
            <w:pPr>
              <w:pStyle w:val="Compact"/>
              <w:jc w:val="left"/>
            </w:pPr>
            <w:r>
              <w:t xml:space="preserve">Engagement with a vetted Business Consultant for a minimum of 20 hours per month for 6 months.</w:t>
            </w:r>
          </w:p>
        </w:tc>
      </w:tr>
    </w:tbl>
    <w:bookmarkEnd w:id="25"/>
    <w:bookmarkEnd w:id="26"/>
    <w:bookmarkStart w:id="27" w:name="X557fc5a6532e20b430afcc860844988c94073fd"/>
    <w:p>
      <w:pPr>
        <w:pStyle w:val="Heading2"/>
      </w:pPr>
      <w:r>
        <w:t xml:space="preserve">4. The Intervention: Business Consultant Role</w:t>
      </w:r>
    </w:p>
    <w:p>
      <w:pPr>
        <w:pStyle w:val="FirstParagraph"/>
      </w:pPr>
      <w:r>
        <w:t xml:space="preserve">For the Treatment Group, the Business Consultant must adhere to a standardized scope of work to ensure consistency across the experiment. The consultant's role in the Abu Dhabi context includes:</w:t>
      </w:r>
    </w:p>
    <w:p>
      <w:pPr>
        <w:numPr>
          <w:ilvl w:val="0"/>
          <w:numId w:val="1003"/>
        </w:numPr>
        <w:pStyle w:val="Compact"/>
      </w:pPr>
      <w:r>
        <w:rPr>
          <w:bCs/>
          <w:b/>
        </w:rPr>
        <w:t xml:space="preserve">Strategic Planning:</w:t>
      </w:r>
      <w:r>
        <w:t xml:space="preserve"> </w:t>
      </w:r>
      <w:r>
        <w:t xml:space="preserve">Developing a roadmap aligned with Abu Dhabi's local economic priorities.</w:t>
      </w:r>
    </w:p>
    <w:p>
      <w:pPr>
        <w:numPr>
          <w:ilvl w:val="0"/>
          <w:numId w:val="1003"/>
        </w:numPr>
        <w:pStyle w:val="Compact"/>
      </w:pPr>
      <w:r>
        <w:rPr>
          <w:bCs/>
          <w:b/>
        </w:rPr>
        <w:t xml:space="preserve">Regulatory Compliance:</w:t>
      </w:r>
      <w:r>
        <w:t xml:space="preserve"> </w:t>
      </w:r>
      <w:r>
        <w:t xml:space="preserve">Ensuring adherence to local labor laws, tax regulations (VAT), and licensing requirements.</w:t>
      </w:r>
    </w:p>
    <w:p>
      <w:pPr>
        <w:numPr>
          <w:ilvl w:val="0"/>
          <w:numId w:val="1003"/>
        </w:numPr>
        <w:pStyle w:val="Compact"/>
      </w:pPr>
      <w:r>
        <w:rPr>
          <w:bCs/>
          <w:b/>
        </w:rPr>
        <w:t xml:space="preserve">Digital Transformation:</w:t>
      </w:r>
      <w:r>
        <w:t xml:space="preserve"> </w:t>
      </w:r>
      <w:r>
        <w:t xml:space="preserve">Implementing technology solutions to enhance operational workflows.</w:t>
      </w:r>
    </w:p>
    <w:p>
      <w:pPr>
        <w:numPr>
          <w:ilvl w:val="0"/>
          <w:numId w:val="1003"/>
        </w:numPr>
        <w:pStyle w:val="Compact"/>
      </w:pPr>
      <w:r>
        <w:rPr>
          <w:bCs/>
          <w:b/>
        </w:rPr>
        <w:t xml:space="preserve">Market Expansion:</w:t>
      </w:r>
      <w:r>
        <w:t xml:space="preserve"> </w:t>
      </w:r>
      <w:r>
        <w:t xml:space="preserve">Identifying opportunities within the wider UAE market and GCC region.</w:t>
      </w:r>
    </w:p>
    <w:p>
      <w:pPr>
        <w:pStyle w:val="FirstParagraph"/>
      </w:pPr>
      <w:r>
        <w:t xml:space="preserve">All consultants participating in this experiment must hold relevant certifications and demonstrate a minimum of five years of experience working within the United Arab Emirates.</w:t>
      </w:r>
    </w:p>
    <w:bookmarkEnd w:id="27"/>
    <w:bookmarkStart w:id="28" w:name="data-collection-and-metrics"/>
    <w:p>
      <w:pPr>
        <w:pStyle w:val="Heading2"/>
      </w:pPr>
      <w:r>
        <w:t xml:space="preserve">5. Data Collection and Metrics</w:t>
      </w:r>
    </w:p>
    <w:p>
      <w:pPr>
        <w:pStyle w:val="FirstParagraph"/>
      </w:pPr>
      <w:r>
        <w:t xml:space="preserve">Data will be collected at three intervals: Baseline (Month 0), Mid-term (Month 6), and End-line (Month 12). The following Key Performance Indicators (KPIs) will be measured:</w:t>
      </w:r>
    </w:p>
    <w:p>
      <w:pPr>
        <w:numPr>
          <w:ilvl w:val="0"/>
          <w:numId w:val="1004"/>
        </w:numPr>
        <w:pStyle w:val="Compact"/>
      </w:pPr>
      <w:r>
        <w:rPr>
          <w:bCs/>
          <w:b/>
        </w:rPr>
        <w:t xml:space="preserve">Financial Metrics:</w:t>
      </w:r>
      <w:r>
        <w:t xml:space="preserve"> </w:t>
      </w:r>
      <w:r>
        <w:t xml:space="preserve">Year-over-year revenue growth, profit margin improvement, and cost reduction percentages.</w:t>
      </w:r>
    </w:p>
    <w:p>
      <w:pPr>
        <w:numPr>
          <w:ilvl w:val="0"/>
          <w:numId w:val="1004"/>
        </w:numPr>
        <w:pStyle w:val="Compact"/>
      </w:pPr>
      <w:r>
        <w:rPr>
          <w:bCs/>
          <w:b/>
        </w:rPr>
        <w:t xml:space="preserve">Operational Metrics:</w:t>
      </w:r>
      <w:r>
        <w:t xml:space="preserve"> </w:t>
      </w:r>
      <w:r>
        <w:t xml:space="preserve">Employee productivity rates, project completion times, and customer satisfaction scores (CSAT).</w:t>
      </w:r>
    </w:p>
    <w:p>
      <w:pPr>
        <w:numPr>
          <w:ilvl w:val="0"/>
          <w:numId w:val="1004"/>
        </w:numPr>
        <w:pStyle w:val="Compact"/>
      </w:pPr>
      <w:r>
        <w:rPr>
          <w:bCs/>
          <w:b/>
        </w:rPr>
        <w:t xml:space="preserve">Compliance Metrics:</w:t>
      </w:r>
      <w:r>
        <w:t xml:space="preserve"> </w:t>
      </w:r>
      <w:r>
        <w:t xml:space="preserve">Number of regulatory infractions or penalties incurred.</w:t>
      </w:r>
    </w:p>
    <w:p>
      <w:pPr>
        <w:numPr>
          <w:ilvl w:val="0"/>
          <w:numId w:val="1004"/>
        </w:numPr>
        <w:pStyle w:val="Compact"/>
      </w:pPr>
      <w:r>
        <w:rPr>
          <w:bCs/>
          <w:b/>
        </w:rPr>
        <w:t xml:space="preserve">Qualitative Feedback:</w:t>
      </w:r>
      <w:r>
        <w:t xml:space="preserve"> </w:t>
      </w:r>
      <w:r>
        <w:t xml:space="preserve">Surveys administered to business owners regarding their perception of the Business Consultant's value and cultural fit.</w:t>
      </w:r>
    </w:p>
    <w:bookmarkEnd w:id="28"/>
    <w:bookmarkStart w:id="29" w:name="ethical-considerations-and-compliance"/>
    <w:p>
      <w:pPr>
        <w:pStyle w:val="Heading2"/>
      </w:pPr>
      <w:r>
        <w:t xml:space="preserve">6. Ethical Considerations and Compliance</w:t>
      </w:r>
    </w:p>
    <w:p>
      <w:pPr>
        <w:pStyle w:val="FirstParagraph"/>
      </w:pPr>
      <w:r>
        <w:t xml:space="preserve">This experiment will strictly adhere to the ethical guidelines for business research in the United Arab Emirates. Key considerations include:</w:t>
      </w:r>
    </w:p>
    <w:p>
      <w:pPr>
        <w:numPr>
          <w:ilvl w:val="0"/>
          <w:numId w:val="1005"/>
        </w:numPr>
        <w:pStyle w:val="Compact"/>
      </w:pPr>
      <w:r>
        <w:rPr>
          <w:bCs/>
          <w:b/>
        </w:rPr>
        <w:t xml:space="preserve">Informed Consent:</w:t>
      </w:r>
      <w:r>
        <w:t xml:space="preserve"> </w:t>
      </w:r>
      <w:r>
        <w:t xml:space="preserve">All participating SMEs must sign a consent form detailing the experiment's nature, risks, and benefits.</w:t>
      </w:r>
    </w:p>
    <w:p>
      <w:pPr>
        <w:numPr>
          <w:ilvl w:val="0"/>
          <w:numId w:val="1005"/>
        </w:numPr>
        <w:pStyle w:val="Compact"/>
      </w:pPr>
      <w:r>
        <w:rPr>
          <w:bCs/>
          <w:b/>
        </w:rPr>
        <w:t xml:space="preserve">Data Privacy:</w:t>
      </w:r>
      <w:r>
        <w:t xml:space="preserve"> </w:t>
      </w:r>
      <w:r>
        <w:t xml:space="preserve">All financial and operational data will be anonymized and stored in secure servers located within the UAE, in compliance with the UAE Data Protection Law.</w:t>
      </w:r>
    </w:p>
    <w:p>
      <w:pPr>
        <w:numPr>
          <w:ilvl w:val="0"/>
          <w:numId w:val="1005"/>
        </w:numPr>
        <w:pStyle w:val="Compact"/>
      </w:pPr>
      <w:r>
        <w:rPr>
          <w:bCs/>
          <w:b/>
        </w:rPr>
        <w:t xml:space="preserve">Non-Discrimination:</w:t>
      </w:r>
      <w:r>
        <w:t xml:space="preserve"> </w:t>
      </w:r>
      <w:r>
        <w:t xml:space="preserve">Selection of participants will be blind to nationality, gender, or ethnicity, ensuring alignment with Abu Dhabi's inclusive business environment.</w:t>
      </w:r>
    </w:p>
    <w:bookmarkEnd w:id="29"/>
    <w:bookmarkStart w:id="30" w:name="risk-management"/>
    <w:p>
      <w:pPr>
        <w:pStyle w:val="Heading2"/>
      </w:pPr>
      <w:r>
        <w:t xml:space="preserve">7. Risk Management</w:t>
      </w:r>
    </w:p>
    <w:p>
      <w:pPr>
        <w:pStyle w:val="FirstParagraph"/>
      </w:pPr>
      <w:r>
        <w:t xml:space="preserve">Potential risks include the disruption of normal business operations due to the experiment and the possibility of consultants providing substandard advice. To mitigate these risks:</w:t>
      </w:r>
    </w:p>
    <w:p>
      <w:pPr>
        <w:numPr>
          <w:ilvl w:val="0"/>
          <w:numId w:val="1006"/>
        </w:numPr>
        <w:pStyle w:val="Compact"/>
      </w:pPr>
      <w:r>
        <w:t xml:space="preserve">A panel of senior experts will review the Business Consultants' plans before implementation.</w:t>
      </w:r>
    </w:p>
    <w:p>
      <w:pPr>
        <w:numPr>
          <w:ilvl w:val="0"/>
          <w:numId w:val="1006"/>
        </w:numPr>
        <w:pStyle w:val="Compact"/>
      </w:pPr>
      <w:r>
        <w:t xml:space="preserve">Participating companies may withdraw from the experiment at any time without penalty.</w:t>
      </w:r>
    </w:p>
    <w:p>
      <w:pPr>
        <w:numPr>
          <w:ilvl w:val="0"/>
          <w:numId w:val="1006"/>
        </w:numPr>
        <w:pStyle w:val="Compact"/>
      </w:pPr>
      <w:r>
        <w:t xml:space="preserve">Regular monitoring meetings will be held to ensure the intervention remains beneficial.</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impact of Business Consultants in Abu Dhabi. By rigorously testing the value proposition of consulting services, this study aims to provide actionable insights for policymakers, business owners, and consultants alike. The findings will contribute to the broader understanding of how professional advisory services can accelerate economic diversification and growth in the United Arab Emirates.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Abu Dhabi</dc:title>
  <dc:creator/>
  <dc:language>en</dc:language>
  <cp:keywords/>
  <dcterms:created xsi:type="dcterms:W3CDTF">2026-10-10T08:50:15Z</dcterms:created>
  <dcterms:modified xsi:type="dcterms:W3CDTF">2026-10-10T08:50:15Z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