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1" w:name="X714900bfe74c5aa219f2d7891552f2fc97ae1f1"/>
    <w:p>
      <w:pPr>
        <w:pStyle w:val="Heading1"/>
      </w:pPr>
      <w:r>
        <w:t xml:space="preserve">Experiment Protocol: Business Consultant Efficacy in Birmingham, United Kingdom</w:t>
      </w:r>
    </w:p>
    <w:p>
      <w:pPr>
        <w:pStyle w:val="FirstParagraph"/>
      </w:pPr>
      <w:r>
        <w:rPr>
          <w:bCs/>
          <w:b/>
        </w:rPr>
        <w:t xml:space="preserve">Protocol ID:</w:t>
      </w:r>
      <w:r>
        <w:t xml:space="preserve"> </w:t>
      </w:r>
      <w:r>
        <w:t xml:space="preserve">EXP-BHM-BC-2024-001</w:t>
      </w:r>
    </w:p>
    <w:p>
      <w:pPr>
        <w:pStyle w:val="BodyText"/>
      </w:pPr>
      <w:r>
        <w:rPr>
          <w:bCs/>
          <w:b/>
        </w:rPr>
        <w:t xml:space="preserve">Title:</w:t>
      </w:r>
      <w:r>
        <w:t xml:space="preserve"> </w:t>
      </w:r>
      <w:r>
        <w:t xml:space="preserve">Quantitative Analysis of Business Consultant Interventions on SME Growth in Birmingham, United Kingdom</w:t>
      </w:r>
    </w:p>
    <w:p>
      <w:pPr>
        <w:pStyle w:val="BodyText"/>
      </w:pPr>
      <w:r>
        <w:rPr>
          <w:bCs/>
          <w:b/>
        </w:rPr>
        <w:t xml:space="preserve">Location:</w:t>
      </w:r>
      <w:r>
        <w:t xml:space="preserve"> </w:t>
      </w:r>
      <w:r>
        <w:t xml:space="preserve">Birmingham, United Kingdom</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economic landscape of Birmingham, United Kingdom, is characterized by a robust and diverse Small and Medium-sized Enterprise (SME) sector. As the second-largest city in the UK, Birmingham serves as a critical hub for manufacturing, financial services, and creative industries. Despite this potential, many local enterprises face challenges related to operational efficiency, digital transformation, and strategic scaling.</w:t>
      </w:r>
    </w:p>
    <w:p>
      <w:pPr>
        <w:pStyle w:val="BodyText"/>
      </w:pPr>
      <w:r>
        <w:t xml:space="preserve">The role of the Business Consultant has become increasingly prominent in addressing these challenges. However, there is a lack of empirical data regarding the specific efficacy of consultant-led interventions within the unique socio-economic context of Birmingham. This Experiment Protocol outlines a rigorous methodology to evaluate the impact of professional Business Consultant services on key performance indicators (KPIs) of SMEs located in Birmingham, United Kingdom.</w:t>
      </w:r>
    </w:p>
    <w:bookmarkEnd w:id="20"/>
    <w:bookmarkStart w:id="21" w:name="objectives"/>
    <w:p>
      <w:pPr>
        <w:pStyle w:val="Heading2"/>
      </w:pPr>
      <w:r>
        <w:t xml:space="preserve">2. Objectives</w:t>
      </w:r>
    </w:p>
    <w:p>
      <w:pPr>
        <w:pStyle w:val="FirstParagraph"/>
      </w:pPr>
      <w:r>
        <w:t xml:space="preserve">The primary objective of this experiment is to determine the causal relationship between the engagement of a qualified Business Consultant and the measurable growth of SMEs in Birmingham. Specific objectives include:</w:t>
      </w:r>
    </w:p>
    <w:p>
      <w:pPr>
        <w:numPr>
          <w:ilvl w:val="0"/>
          <w:numId w:val="1001"/>
        </w:numPr>
        <w:pStyle w:val="Compact"/>
      </w:pPr>
      <w:r>
        <w:t xml:space="preserve">To quantify changes in revenue growth, operational efficiency, and employee retention rates following consultant intervention.</w:t>
      </w:r>
    </w:p>
    <w:p>
      <w:pPr>
        <w:numPr>
          <w:ilvl w:val="0"/>
          <w:numId w:val="1001"/>
        </w:numPr>
        <w:pStyle w:val="Compact"/>
      </w:pPr>
      <w:r>
        <w:t xml:space="preserve">To assess the adaptability of standard consulting methodologies to the specific cultural and regulatory environment of Birmingham, United Kingdom.</w:t>
      </w:r>
    </w:p>
    <w:p>
      <w:pPr>
        <w:numPr>
          <w:ilvl w:val="0"/>
          <w:numId w:val="1001"/>
        </w:numPr>
        <w:pStyle w:val="Compact"/>
      </w:pPr>
      <w:r>
        <w:t xml:space="preserve">To identify which specific consulting domains (e.g., digital strategy, supply chain optimization, financial restructuring) yield the highest return on investment (ROI) for Birmingham-based businesses.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This approach is selected to minimize bias and ensure that observed outcomes can be attributed directly to the Business Consultant's intervention rather than external market factors affecting Birmingham.</w:t>
      </w:r>
    </w:p>
    <w:bookmarkEnd w:id="22"/>
    <w:bookmarkStart w:id="23" w:name="participants-and-sampling"/>
    <w:p>
      <w:pPr>
        <w:pStyle w:val="Heading3"/>
      </w:pPr>
      <w:r>
        <w:t xml:space="preserve">3.2 Participants and Sampling</w:t>
      </w:r>
    </w:p>
    <w:p>
      <w:pPr>
        <w:pStyle w:val="FirstParagraph"/>
      </w:pPr>
      <w:r>
        <w:t xml:space="preserve">The target population consists of SMEs registered and operating within the Greater Birmingham area. To ensure relevance, participants must meet the following criteria:</w:t>
      </w:r>
    </w:p>
    <w:p>
      <w:pPr>
        <w:numPr>
          <w:ilvl w:val="0"/>
          <w:numId w:val="1002"/>
        </w:numPr>
        <w:pStyle w:val="Compact"/>
      </w:pPr>
      <w:r>
        <w:t xml:space="preserve">Employ between 10 and 250 staff members.</w:t>
      </w:r>
    </w:p>
    <w:p>
      <w:pPr>
        <w:numPr>
          <w:ilvl w:val="0"/>
          <w:numId w:val="1002"/>
        </w:numPr>
        <w:pStyle w:val="Compact"/>
      </w:pPr>
      <w:r>
        <w:t xml:space="preserve">Have been operational in Birmingham, United Kingdom, for at least three years.</w:t>
      </w:r>
    </w:p>
    <w:p>
      <w:pPr>
        <w:numPr>
          <w:ilvl w:val="0"/>
          <w:numId w:val="1002"/>
        </w:numPr>
        <w:pStyle w:val="Compact"/>
      </w:pPr>
      <w:r>
        <w:t xml:space="preserve">Have not engaged a strategic Business Consultant in the previous 24 months.</w:t>
      </w:r>
    </w:p>
    <w:p>
      <w:pPr>
        <w:numPr>
          <w:ilvl w:val="0"/>
          <w:numId w:val="1002"/>
        </w:numPr>
        <w:pStyle w:val="Compact"/>
      </w:pPr>
      <w:r>
        <w:t xml:space="preserve">Operate in one of the following sectors: Advanced Manufacturing, Professional Services, or Retail.</w:t>
      </w:r>
    </w:p>
    <w:p>
      <w:pPr>
        <w:pStyle w:val="FirstParagraph"/>
      </w:pPr>
      <w:r>
        <w:t xml:space="preserve">A total of 100 companies will be recruited. These will be randomly assigned to two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Description</w:t>
            </w:r>
          </w:p>
        </w:tc>
        <w:tc>
          <w:tcPr/>
          <w:p>
            <w:pPr>
              <w:pStyle w:val="Compact"/>
              <w:jc w:val="left"/>
            </w:pPr>
            <w:r>
              <w:t xml:space="preserve">Sample Size</w:t>
            </w:r>
          </w:p>
        </w:tc>
      </w:tr>
      <w:tr>
        <w:tc>
          <w:tcPr/>
          <w:p>
            <w:pPr>
              <w:pStyle w:val="Compact"/>
              <w:jc w:val="left"/>
            </w:pPr>
            <w:r>
              <w:t xml:space="preserve">Intervention Group</w:t>
            </w:r>
          </w:p>
        </w:tc>
        <w:tc>
          <w:tcPr/>
          <w:p>
            <w:pPr>
              <w:pStyle w:val="Compact"/>
              <w:jc w:val="left"/>
            </w:pPr>
            <w:r>
              <w:t xml:space="preserve">Companies receiving structured support from a certified Business Consultant.</w:t>
            </w:r>
          </w:p>
        </w:tc>
        <w:tc>
          <w:tcPr/>
          <w:p>
            <w:pPr>
              <w:pStyle w:val="Compact"/>
              <w:jc w:val="left"/>
            </w:pPr>
            <w:r>
              <w:t xml:space="preserve">50</w:t>
            </w:r>
          </w:p>
        </w:tc>
      </w:tr>
      <w:tr>
        <w:tc>
          <w:tcPr/>
          <w:p>
            <w:pPr>
              <w:pStyle w:val="Compact"/>
              <w:jc w:val="left"/>
            </w:pPr>
            <w:r>
              <w:t xml:space="preserve">Control Group</w:t>
            </w:r>
          </w:p>
        </w:tc>
        <w:tc>
          <w:tcPr/>
          <w:p>
            <w:pPr>
              <w:pStyle w:val="Compact"/>
              <w:jc w:val="left"/>
            </w:pPr>
            <w:r>
              <w:t xml:space="preserve">Companies continuing operations without external consulting support.</w:t>
            </w:r>
          </w:p>
        </w:tc>
        <w:tc>
          <w:tcPr/>
          <w:p>
            <w:pPr>
              <w:pStyle w:val="Compact"/>
              <w:jc w:val="left"/>
            </w:pPr>
            <w:r>
              <w:t xml:space="preserve">50</w:t>
            </w:r>
          </w:p>
        </w:tc>
      </w:tr>
    </w:tbl>
    <w:bookmarkEnd w:id="23"/>
    <w:bookmarkStart w:id="24" w:name="the-intervention"/>
    <w:p>
      <w:pPr>
        <w:pStyle w:val="Heading3"/>
      </w:pPr>
      <w:r>
        <w:t xml:space="preserve">3.3 The Intervention</w:t>
      </w:r>
    </w:p>
    <w:p>
      <w:pPr>
        <w:pStyle w:val="FirstParagraph"/>
      </w:pPr>
      <w:r>
        <w:t xml:space="preserve">For the Intervention Group, a standardized consulting framework will be implemented by a panel of accredited Business Consultants. The intervention will last for six months and include:</w:t>
      </w:r>
    </w:p>
    <w:p>
      <w:pPr>
        <w:numPr>
          <w:ilvl w:val="0"/>
          <w:numId w:val="1003"/>
        </w:numPr>
        <w:pStyle w:val="Compact"/>
      </w:pPr>
      <w:r>
        <w:rPr>
          <w:bCs/>
          <w:b/>
        </w:rPr>
        <w:t xml:space="preserve">Diagnostic Phase (Month 1):</w:t>
      </w:r>
      <w:r>
        <w:t xml:space="preserve"> </w:t>
      </w:r>
      <w:r>
        <w:t xml:space="preserve">Comprehensive audit of current business processes, financial health, and market positioning within the Birmingham context.</w:t>
      </w:r>
    </w:p>
    <w:p>
      <w:pPr>
        <w:numPr>
          <w:ilvl w:val="0"/>
          <w:numId w:val="1003"/>
        </w:numPr>
        <w:pStyle w:val="Compact"/>
      </w:pPr>
      <w:r>
        <w:rPr>
          <w:bCs/>
          <w:b/>
        </w:rPr>
        <w:t xml:space="preserve">Strategy Formulation (Month 2):</w:t>
      </w:r>
      <w:r>
        <w:t xml:space="preserve"> </w:t>
      </w:r>
      <w:r>
        <w:t xml:space="preserve">Development of a tailored strategic plan addressing identified inefficiencies.</w:t>
      </w:r>
    </w:p>
    <w:p>
      <w:pPr>
        <w:numPr>
          <w:ilvl w:val="0"/>
          <w:numId w:val="1003"/>
        </w:numPr>
        <w:pStyle w:val="Compact"/>
      </w:pPr>
      <w:r>
        <w:rPr>
          <w:bCs/>
          <w:b/>
        </w:rPr>
        <w:t xml:space="preserve">Implementation Support (Months 3-5):</w:t>
      </w:r>
      <w:r>
        <w:t xml:space="preserve"> </w:t>
      </w:r>
      <w:r>
        <w:t xml:space="preserve">Active guidance during the execution of strategic initiatives, including staff training and process re-engineering.</w:t>
      </w:r>
    </w:p>
    <w:p>
      <w:pPr>
        <w:numPr>
          <w:ilvl w:val="0"/>
          <w:numId w:val="1003"/>
        </w:numPr>
        <w:pStyle w:val="Compact"/>
      </w:pPr>
      <w:r>
        <w:rPr>
          <w:bCs/>
          <w:b/>
        </w:rPr>
        <w:t xml:space="preserve">Review and Optimization (Month 6):</w:t>
      </w:r>
      <w:r>
        <w:t xml:space="preserve"> </w:t>
      </w:r>
      <w:r>
        <w:t xml:space="preserve">Assessment of initial results and adjustment of strategies for long-term sustainability.</w:t>
      </w:r>
    </w:p>
    <w:bookmarkEnd w:id="24"/>
    <w:bookmarkEnd w:id="25"/>
    <w:bookmarkStart w:id="26" w:name="data-collection-and-metrics"/>
    <w:p>
      <w:pPr>
        <w:pStyle w:val="Heading2"/>
      </w:pPr>
      <w:r>
        <w:t xml:space="preserve">4. Data Collection and Metrics</w:t>
      </w:r>
    </w:p>
    <w:p>
      <w:pPr>
        <w:pStyle w:val="FirstParagraph"/>
      </w:pPr>
      <w:r>
        <w:t xml:space="preserve">Data will be collected at three intervals: Baseline (T0), Mid-Point (T1), and Post-Intervention (T2). The following metrics will be tracked:</w:t>
      </w:r>
    </w:p>
    <w:p>
      <w:pPr>
        <w:numPr>
          <w:ilvl w:val="0"/>
          <w:numId w:val="1004"/>
        </w:numPr>
        <w:pStyle w:val="Compact"/>
      </w:pPr>
      <w:r>
        <w:rPr>
          <w:bCs/>
          <w:b/>
        </w:rPr>
        <w:t xml:space="preserve">Financial Performance:</w:t>
      </w:r>
      <w:r>
        <w:t xml:space="preserve"> </w:t>
      </w:r>
      <w:r>
        <w:t xml:space="preserve">Gross revenue, net profit margin, and cash flow stability.</w:t>
      </w:r>
    </w:p>
    <w:p>
      <w:pPr>
        <w:numPr>
          <w:ilvl w:val="0"/>
          <w:numId w:val="1004"/>
        </w:numPr>
        <w:pStyle w:val="Compact"/>
      </w:pPr>
      <w:r>
        <w:rPr>
          <w:bCs/>
          <w:b/>
        </w:rPr>
        <w:t xml:space="preserve">Operational Efficiency:</w:t>
      </w:r>
      <w:r>
        <w:t xml:space="preserve"> </w:t>
      </w:r>
      <w:r>
        <w:t xml:space="preserve">Cost per unit of output, project delivery times, and resource utilization rates.</w:t>
      </w:r>
    </w:p>
    <w:p>
      <w:pPr>
        <w:numPr>
          <w:ilvl w:val="0"/>
          <w:numId w:val="1004"/>
        </w:numPr>
        <w:pStyle w:val="Compact"/>
      </w:pPr>
      <w:r>
        <w:rPr>
          <w:bCs/>
          <w:b/>
        </w:rPr>
        <w:t xml:space="preserve">Human Capital:</w:t>
      </w:r>
      <w:r>
        <w:t xml:space="preserve"> </w:t>
      </w:r>
      <w:r>
        <w:t xml:space="preserve">Employee turnover rates, staff satisfaction scores, and training hours per employee.</w:t>
      </w:r>
    </w:p>
    <w:p>
      <w:pPr>
        <w:numPr>
          <w:ilvl w:val="0"/>
          <w:numId w:val="1004"/>
        </w:numPr>
        <w:pStyle w:val="Compact"/>
      </w:pPr>
      <w:r>
        <w:rPr>
          <w:bCs/>
          <w:b/>
        </w:rPr>
        <w:t xml:space="preserve">Market Position:</w:t>
      </w:r>
      <w:r>
        <w:t xml:space="preserve"> </w:t>
      </w:r>
      <w:r>
        <w:t xml:space="preserve">Customer acquisition costs and client retention rates within the Birmingham and wider UK market.</w:t>
      </w:r>
    </w:p>
    <w:bookmarkEnd w:id="26"/>
    <w:bookmarkStart w:id="27" w:name="ethical-considerations"/>
    <w:p>
      <w:pPr>
        <w:pStyle w:val="Heading2"/>
      </w:pPr>
      <w:r>
        <w:t xml:space="preserve">5. Ethical Considerations</w:t>
      </w:r>
    </w:p>
    <w:p>
      <w:pPr>
        <w:pStyle w:val="FirstParagraph"/>
      </w:pPr>
      <w:r>
        <w:t xml:space="preserve">This experiment adheres to the ethical guidelines set by the British Psychological Society and the UK General Data Protection Regulation (UK GDPR). All participating businesses in Birmingham will provide informed consent. Confidentiality of proprietary business data will be strictly maintained. The Control Group will be offered a summary of the findings and a discounted consulting package upon completion of the study to ensure fairness.</w:t>
      </w:r>
    </w:p>
    <w:bookmarkEnd w:id="27"/>
    <w:bookmarkStart w:id="28" w:name="risk-management"/>
    <w:p>
      <w:pPr>
        <w:pStyle w:val="Heading2"/>
      </w:pPr>
      <w:r>
        <w:t xml:space="preserve">6. Risk Management</w:t>
      </w:r>
    </w:p>
    <w:p>
      <w:pPr>
        <w:pStyle w:val="FirstParagraph"/>
      </w:pPr>
      <w:r>
        <w:t xml:space="preserve">Potential risks include external economic fluctuations affecting Birmingham's local economy, which could skew results. To mitigate this, the study will control for macroeconomic indicators. Additionally, there is a risk of participant dropout; therefore, a buffer of 10% extra participants will be recruited initially.</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Recruitment</w:t>
            </w:r>
          </w:p>
        </w:tc>
        <w:tc>
          <w:tcPr/>
          <w:p>
            <w:pPr>
              <w:pStyle w:val="Compact"/>
              <w:jc w:val="left"/>
            </w:pPr>
            <w:r>
              <w:t xml:space="preserve">Months 1-2</w:t>
            </w:r>
          </w:p>
        </w:tc>
        <w:tc>
          <w:tcPr/>
          <w:p>
            <w:pPr>
              <w:pStyle w:val="Compact"/>
              <w:jc w:val="left"/>
            </w:pPr>
            <w:r>
              <w:t xml:space="preserve">Outreach to Birmingham SMEs, screening, and randomization.</w:t>
            </w:r>
          </w:p>
        </w:tc>
      </w:tr>
      <w:tr>
        <w:tc>
          <w:tcPr/>
          <w:p>
            <w:pPr>
              <w:pStyle w:val="Compact"/>
              <w:jc w:val="left"/>
            </w:pPr>
            <w:r>
              <w:t xml:space="preserve">Baseline Data</w:t>
            </w:r>
          </w:p>
        </w:tc>
        <w:tc>
          <w:tcPr/>
          <w:p>
            <w:pPr>
              <w:pStyle w:val="Compact"/>
              <w:jc w:val="left"/>
            </w:pPr>
            <w:r>
              <w:t xml:space="preserve">Month 3</w:t>
            </w:r>
          </w:p>
        </w:tc>
        <w:tc>
          <w:tcPr/>
          <w:p>
            <w:pPr>
              <w:pStyle w:val="Compact"/>
              <w:jc w:val="left"/>
            </w:pPr>
            <w:r>
              <w:t xml:space="preserve">Collection of initial metrics from all participants.</w:t>
            </w:r>
          </w:p>
        </w:tc>
      </w:tr>
      <w:tr>
        <w:tc>
          <w:tcPr/>
          <w:p>
            <w:pPr>
              <w:pStyle w:val="Compact"/>
              <w:jc w:val="left"/>
            </w:pPr>
            <w:r>
              <w:t xml:space="preserve">Intervention</w:t>
            </w:r>
          </w:p>
        </w:tc>
        <w:tc>
          <w:tcPr/>
          <w:p>
            <w:pPr>
              <w:pStyle w:val="Compact"/>
              <w:jc w:val="left"/>
            </w:pPr>
            <w:r>
              <w:t xml:space="preserve">Months 4-9</w:t>
            </w:r>
          </w:p>
        </w:tc>
        <w:tc>
          <w:tcPr/>
          <w:p>
            <w:pPr>
              <w:pStyle w:val="Compact"/>
              <w:jc w:val="left"/>
            </w:pPr>
            <w:r>
              <w:t xml:space="preserve">Business Consultant engagement with the Intervention Group.</w:t>
            </w:r>
          </w:p>
        </w:tc>
      </w:tr>
      <w:tr>
        <w:tc>
          <w:tcPr/>
          <w:p>
            <w:pPr>
              <w:pStyle w:val="Compact"/>
              <w:jc w:val="left"/>
            </w:pPr>
            <w:r>
              <w:t xml:space="preserve">Analysis</w:t>
            </w:r>
          </w:p>
        </w:tc>
        <w:tc>
          <w:tcPr/>
          <w:p>
            <w:pPr>
              <w:pStyle w:val="Compact"/>
              <w:jc w:val="left"/>
            </w:pPr>
            <w:r>
              <w:t xml:space="preserve">Months 10-11</w:t>
            </w:r>
          </w:p>
        </w:tc>
        <w:tc>
          <w:tcPr/>
          <w:p>
            <w:pPr>
              <w:pStyle w:val="Compact"/>
              <w:jc w:val="left"/>
            </w:pPr>
            <w:r>
              <w:t xml:space="preserve">Data processing, statistical analysis, and report generation.</w:t>
            </w:r>
          </w:p>
        </w:tc>
      </w:tr>
      <w:tr>
        <w:tc>
          <w:tcPr/>
          <w:p>
            <w:pPr>
              <w:pStyle w:val="Compact"/>
              <w:jc w:val="left"/>
            </w:pPr>
            <w:r>
              <w:t xml:space="preserve">Dissemination</w:t>
            </w:r>
          </w:p>
        </w:tc>
        <w:tc>
          <w:tcPr/>
          <w:p>
            <w:pPr>
              <w:pStyle w:val="Compact"/>
              <w:jc w:val="left"/>
            </w:pPr>
            <w:r>
              <w:t xml:space="preserve">Month 12</w:t>
            </w:r>
          </w:p>
        </w:tc>
        <w:tc>
          <w:tcPr/>
          <w:p>
            <w:pPr>
              <w:pStyle w:val="Compact"/>
              <w:jc w:val="left"/>
            </w:pPr>
            <w:r>
              <w:t xml:space="preserve">Publication of results and presentation to stakeholders in Birmingham.</w:t>
            </w:r>
          </w:p>
        </w:tc>
      </w:tr>
    </w:tbl>
    <w:bookmarkEnd w:id="29"/>
    <w:bookmarkStart w:id="30" w:name="conclusion"/>
    <w:p>
      <w:pPr>
        <w:pStyle w:val="Heading2"/>
      </w:pPr>
      <w:r>
        <w:t xml:space="preserve">8. Conclusion</w:t>
      </w:r>
    </w:p>
    <w:p>
      <w:pPr>
        <w:pStyle w:val="FirstParagraph"/>
      </w:pPr>
      <w:r>
        <w:t xml:space="preserve">This Experiment Protocol provides a structured approach to evaluating the value of Business Consultants in Birmingham, United Kingdom. By employing a rigorous RCT methodology, the study aims to generate actionable insights that will benefit local businesses, consulting professionals, and policymakers. The findings will contribute to a deeper understanding of how professional advisory services can drive economic resilience and growth in one of the UK's most vital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Birmingham, United Kingdom</dc:title>
  <dc:creator/>
  <dc:language>en</dc:language>
  <cp:keywords/>
  <dcterms:created xsi:type="dcterms:W3CDTF">2026-10-10T05:53:31Z</dcterms:created>
  <dcterms:modified xsi:type="dcterms:W3CDTF">2026-10-10T05:53:31Z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