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Chicago</w:t>
      </w:r>
    </w:p>
    <w:bookmarkStart w:id="20" w:name="Xba7b9611fa59ce309cf45bfc627be9a2846de19"/>
    <w:p>
      <w:pPr>
        <w:pStyle w:val="Heading1"/>
      </w:pPr>
      <w:r>
        <w:t xml:space="preserve">Experiment Protocol: Business Consultant Efficacy in United States Chicago</w:t>
      </w:r>
    </w:p>
    <w:p>
      <w:pPr>
        <w:pStyle w:val="FirstParagraph"/>
      </w:pPr>
      <w:r>
        <w:rPr>
          <w:bCs/>
          <w:b/>
        </w:rPr>
        <w:t xml:space="preserve">Protocol ID:</w:t>
      </w:r>
      <w:r>
        <w:t xml:space="preserve"> </w:t>
      </w:r>
      <w:r>
        <w:t xml:space="preserve">EXP-CHI-BC-2024-001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Chicago, Illinois, United States</w:t>
      </w:r>
    </w:p>
    <w:p>
      <w:pPr>
        <w:pStyle w:val="BodyText"/>
      </w:pPr>
      <w:r>
        <w:rPr>
          <w:bCs/>
          <w:b/>
        </w:rPr>
        <w:t xml:space="preserve">Principal Investigator:</w:t>
      </w:r>
      <w:r>
        <w:t xml:space="preserve"> </w:t>
      </w:r>
      <w:r>
        <w:t xml:space="preserve">[Name Redacted]</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impact of professional Business Consultant interventions on small-to-medium enterprises (SMEs) located in the metropolitan area of Chicago, Illinois. Chicago represents a unique economic landscape within the United States, characterized by a diverse industrial base ranging from financial services and logistics to advanced manufacturing and technology. The objective of this study is to quantify the value proposition of external consulting services in this specific geographic and regulatory context.</w:t>
      </w:r>
    </w:p>
    <w:p>
      <w:pPr>
        <w:pStyle w:val="BodyText"/>
      </w:pPr>
      <w:r>
        <w:t xml:space="preserve">The hypothesis posits that SMEs in Chicago that engage a certified Business Consultant for a structured six-month period will demonstrate statistically significant improvements in operational efficiency, revenue growth, and employee retention compared to a control group of similar enterprises that do not engage such services.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direct correlation between Business Consultant engagement and key performance indicators (KPIs) in Chicago-based firms.</w:t>
      </w:r>
    </w:p>
    <w:p>
      <w:pPr>
        <w:numPr>
          <w:ilvl w:val="0"/>
          <w:numId w:val="1001"/>
        </w:numPr>
        <w:pStyle w:val="Compact"/>
      </w:pPr>
      <w:r>
        <w:t xml:space="preserve">To evaluate the adaptability of standard consulting frameworks to the specific cultural and regulatory environment of the United States Chicago market.</w:t>
      </w:r>
    </w:p>
    <w:p>
      <w:pPr>
        <w:numPr>
          <w:ilvl w:val="0"/>
          <w:numId w:val="1001"/>
        </w:numPr>
        <w:pStyle w:val="Compact"/>
      </w:pPr>
      <w:r>
        <w:t xml:space="preserve">To identify which specific consulting methodologies yield the highest return on investment (ROI) for local businesses.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randomized controlled trial (RCT) design. Participating businesses will be randomly assigned to either the Treatment Group or the Control Group. The experiment will run for a duration of twelve months, with the active intervention phase lasting six months.</w:t>
      </w:r>
    </w:p>
    <w:bookmarkEnd w:id="23"/>
    <w:bookmarkStart w:id="24" w:name="participant-selection"/>
    <w:p>
      <w:pPr>
        <w:pStyle w:val="Heading3"/>
      </w:pPr>
      <w:r>
        <w:t xml:space="preserve">3.2 Participant Selection</w:t>
      </w:r>
    </w:p>
    <w:p>
      <w:pPr>
        <w:pStyle w:val="FirstParagraph"/>
      </w:pPr>
      <w:r>
        <w:t xml:space="preserve">Participants will be SMEs headquartered in Cook County, Illinois, specifically within the Chicago city limits. Inclusion criteria are as follows:</w:t>
      </w:r>
    </w:p>
    <w:p>
      <w:pPr>
        <w:numPr>
          <w:ilvl w:val="0"/>
          <w:numId w:val="1002"/>
        </w:numPr>
        <w:pStyle w:val="Compact"/>
      </w:pPr>
      <w:r>
        <w:t xml:space="preserve">Annual revenue between $1 million and $10 million USD.</w:t>
      </w:r>
    </w:p>
    <w:p>
      <w:pPr>
        <w:numPr>
          <w:ilvl w:val="0"/>
          <w:numId w:val="1002"/>
        </w:numPr>
        <w:pStyle w:val="Compact"/>
      </w:pPr>
      <w:r>
        <w:t xml:space="preserve">Employment of between 10 and 100 full-time employees.</w:t>
      </w:r>
    </w:p>
    <w:p>
      <w:pPr>
        <w:numPr>
          <w:ilvl w:val="0"/>
          <w:numId w:val="1002"/>
        </w:numPr>
        <w:pStyle w:val="Compact"/>
      </w:pPr>
      <w:r>
        <w:t xml:space="preserve">Operational history of at least three years within the United States.</w:t>
      </w:r>
    </w:p>
    <w:p>
      <w:pPr>
        <w:numPr>
          <w:ilvl w:val="0"/>
          <w:numId w:val="1002"/>
        </w:numPr>
        <w:pStyle w:val="Compact"/>
      </w:pPr>
      <w:r>
        <w:t xml:space="preserve">Willingness to share financial and operational data for the duration of the study.</w:t>
      </w:r>
    </w:p>
    <w:p>
      <w:pPr>
        <w:pStyle w:val="FirstParagraph"/>
      </w:pPr>
      <w:r>
        <w:t xml:space="preserve">Exclusion criteria include businesses currently undergoing bankruptcy proceedings or those that have engaged a Business Consultant within the last 18 months.</w:t>
      </w:r>
    </w:p>
    <w:bookmarkEnd w:id="24"/>
    <w:bookmarkStart w:id="25" w:name="intervention-protocol"/>
    <w:p>
      <w:pPr>
        <w:pStyle w:val="Heading3"/>
      </w:pPr>
      <w:r>
        <w:t xml:space="preserve">3.3 Intervention Protocol</w:t>
      </w:r>
    </w:p>
    <w:p>
      <w:pPr>
        <w:pStyle w:val="FirstParagraph"/>
      </w:pPr>
      <w:r>
        <w:t xml:space="preserve">Businesses in the Treatment Group will be paired with a qualified Business Consultant. The consultant must adhere to the following protocol:</w:t>
      </w:r>
    </w:p>
    <w:p>
      <w:pPr>
        <w:numPr>
          <w:ilvl w:val="0"/>
          <w:numId w:val="1003"/>
        </w:numPr>
        <w:pStyle w:val="Compact"/>
      </w:pPr>
      <w:r>
        <w:rPr>
          <w:bCs/>
          <w:b/>
        </w:rPr>
        <w:t xml:space="preserve">Phase 1 (Weeks 1-4):</w:t>
      </w:r>
      <w:r>
        <w:t xml:space="preserve"> </w:t>
      </w:r>
      <w:r>
        <w:t xml:space="preserve">Comprehensive diagnostic audit of current operations, financial health, and market positioning within the Chicago economy.</w:t>
      </w:r>
    </w:p>
    <w:p>
      <w:pPr>
        <w:numPr>
          <w:ilvl w:val="0"/>
          <w:numId w:val="1003"/>
        </w:numPr>
        <w:pStyle w:val="Compact"/>
      </w:pPr>
      <w:r>
        <w:rPr>
          <w:bCs/>
          <w:b/>
        </w:rPr>
        <w:t xml:space="preserve">Phase 2 (Weeks 5-8):</w:t>
      </w:r>
      <w:r>
        <w:t xml:space="preserve"> </w:t>
      </w:r>
      <w:r>
        <w:t xml:space="preserve">Development of a strategic action plan tailored to local market conditions, including compliance with Illinois state labor laws and Chicago municipal regulations.</w:t>
      </w:r>
    </w:p>
    <w:p>
      <w:pPr>
        <w:numPr>
          <w:ilvl w:val="0"/>
          <w:numId w:val="1003"/>
        </w:numPr>
        <w:pStyle w:val="Compact"/>
      </w:pPr>
      <w:r>
        <w:rPr>
          <w:bCs/>
          <w:b/>
        </w:rPr>
        <w:t xml:space="preserve">Phase 3 (Weeks 9-24):</w:t>
      </w:r>
      <w:r>
        <w:t xml:space="preserve"> </w:t>
      </w:r>
      <w:r>
        <w:t xml:space="preserve">Implementation support, including process re-engineering, leadership training, and technology integration.</w:t>
      </w:r>
    </w:p>
    <w:p>
      <w:pPr>
        <w:pStyle w:val="FirstParagraph"/>
      </w:pPr>
      <w:r>
        <w:t xml:space="preserve">The Control Group will continue operations as usual without external consulting intervention but will be required to submit monthly operational reports.</w:t>
      </w:r>
    </w:p>
    <w:bookmarkEnd w:id="25"/>
    <w:bookmarkEnd w:id="26"/>
    <w:bookmarkStart w:id="27" w:name="data-collection-and-metrics"/>
    <w:p>
      <w:pPr>
        <w:pStyle w:val="Heading2"/>
      </w:pPr>
      <w:r>
        <w:t xml:space="preserve">4. Data Collection and Metrics</w:t>
      </w:r>
    </w:p>
    <w:p>
      <w:pPr>
        <w:pStyle w:val="FirstParagraph"/>
      </w:pPr>
      <w:r>
        <w:t xml:space="preserve">Data will be collected at three intervals: Baseline (Month 0), Mid-Point (Month 6), and Post-Intervention (Month 12). The following metrics will be tracked: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 Category</w:t>
            </w:r>
          </w:p>
        </w:tc>
        <w:tc>
          <w:tcPr/>
          <w:p>
            <w:pPr>
              <w:pStyle w:val="Compact"/>
              <w:jc w:val="left"/>
            </w:pPr>
            <w:r>
              <w:t xml:space="preserve">Specific Indicators</w:t>
            </w:r>
          </w:p>
        </w:tc>
      </w:tr>
      <w:tr>
        <w:tc>
          <w:tcPr/>
          <w:p>
            <w:pPr>
              <w:pStyle w:val="Compact"/>
              <w:jc w:val="left"/>
            </w:pPr>
            <w:r>
              <w:t xml:space="preserve">Financial Performance</w:t>
            </w:r>
          </w:p>
        </w:tc>
        <w:tc>
          <w:tcPr/>
          <w:p>
            <w:pPr>
              <w:pStyle w:val="Compact"/>
              <w:jc w:val="left"/>
            </w:pPr>
            <w:r>
              <w:t xml:space="preserve">Net profit margin, revenue growth rate, cost reduction percentage.</w:t>
            </w:r>
          </w:p>
        </w:tc>
      </w:tr>
      <w:tr>
        <w:tc>
          <w:tcPr/>
          <w:p>
            <w:pPr>
              <w:pStyle w:val="Compact"/>
              <w:jc w:val="left"/>
            </w:pPr>
            <w:r>
              <w:t xml:space="preserve">Operational Efficiency</w:t>
            </w:r>
          </w:p>
        </w:tc>
        <w:tc>
          <w:tcPr/>
          <w:p>
            <w:pPr>
              <w:pStyle w:val="Compact"/>
              <w:jc w:val="left"/>
            </w:pPr>
            <w:r>
              <w:t xml:space="preserve">Process cycle times, inventory turnover, customer acquisition cost.</w:t>
            </w:r>
          </w:p>
        </w:tc>
      </w:tr>
      <w:tr>
        <w:tc>
          <w:tcPr/>
          <w:p>
            <w:pPr>
              <w:pStyle w:val="Compact"/>
              <w:jc w:val="left"/>
            </w:pPr>
            <w:r>
              <w:t xml:space="preserve">Human Capital</w:t>
            </w:r>
          </w:p>
        </w:tc>
        <w:tc>
          <w:tcPr/>
          <w:p>
            <w:pPr>
              <w:pStyle w:val="Compact"/>
              <w:jc w:val="left"/>
            </w:pPr>
            <w:r>
              <w:t xml:space="preserve">Employee turnover rate, employee satisfaction scores, training hours per employee.</w:t>
            </w:r>
          </w:p>
        </w:tc>
      </w:tr>
      <w:tr>
        <w:tc>
          <w:tcPr/>
          <w:p>
            <w:pPr>
              <w:pStyle w:val="Compact"/>
              <w:jc w:val="left"/>
            </w:pPr>
            <w:r>
              <w:t xml:space="preserve">Market Position</w:t>
            </w:r>
          </w:p>
        </w:tc>
        <w:tc>
          <w:tcPr/>
          <w:p>
            <w:pPr>
              <w:pStyle w:val="Compact"/>
              <w:jc w:val="left"/>
            </w:pPr>
            <w:r>
              <w:t xml:space="preserve">Customer retention rate, net promoter score (NPS), market share within Chicago.</w:t>
            </w:r>
          </w:p>
        </w:tc>
      </w:tr>
    </w:tbl>
    <w:bookmarkEnd w:id="27"/>
    <w:bookmarkStart w:id="28" w:name="ethical-considerations-and-compliance"/>
    <w:p>
      <w:pPr>
        <w:pStyle w:val="Heading2"/>
      </w:pPr>
      <w:r>
        <w:t xml:space="preserve">5. Ethical Considerations and Compliance</w:t>
      </w:r>
    </w:p>
    <w:p>
      <w:pPr>
        <w:pStyle w:val="FirstParagraph"/>
      </w:pPr>
      <w:r>
        <w:t xml:space="preserve">This Experiment Protocol adheres to the ethical guidelines established by the American Psychological Association and relevant business research standards in the United States. All participating businesses will provide informed consent. Data confidentiality will be maintained in accordance with the Illinois Personal Information Protection Act (PIPA). No personally identifiable information (PII) of employees will be collected without explicit consent.</w:t>
      </w:r>
    </w:p>
    <w:bookmarkEnd w:id="28"/>
    <w:bookmarkStart w:id="29" w:name="risk-management"/>
    <w:p>
      <w:pPr>
        <w:pStyle w:val="Heading2"/>
      </w:pPr>
      <w:r>
        <w:t xml:space="preserve">6. Risk Management</w:t>
      </w:r>
    </w:p>
    <w:p>
      <w:pPr>
        <w:pStyle w:val="FirstParagraph"/>
      </w:pPr>
      <w:r>
        <w:t xml:space="preserve">Potential risks include business disruption due to consulting interventions and data security breaches. Mitigation strategies include:</w:t>
      </w:r>
    </w:p>
    <w:p>
      <w:pPr>
        <w:numPr>
          <w:ilvl w:val="0"/>
          <w:numId w:val="1004"/>
        </w:numPr>
        <w:pStyle w:val="Compact"/>
      </w:pPr>
      <w:r>
        <w:t xml:space="preserve">Ensuring all Business Consultants are vetted and certified professionals.</w:t>
      </w:r>
    </w:p>
    <w:p>
      <w:pPr>
        <w:numPr>
          <w:ilvl w:val="0"/>
          <w:numId w:val="1004"/>
        </w:numPr>
        <w:pStyle w:val="Compact"/>
      </w:pPr>
      <w:r>
        <w:t xml:space="preserve">Implementing secure, encrypted data storage solutions compliant with US federal standards.</w:t>
      </w:r>
    </w:p>
    <w:p>
      <w:pPr>
        <w:numPr>
          <w:ilvl w:val="0"/>
          <w:numId w:val="1004"/>
        </w:numPr>
        <w:pStyle w:val="Compact"/>
      </w:pPr>
      <w:r>
        <w:t xml:space="preserve">Providing an exit clause for any business that experiences adverse effects during the intervention phase.</w:t>
      </w:r>
    </w:p>
    <w:bookmarkEnd w:id="29"/>
    <w:bookmarkStart w:id="30" w:name="timeline"/>
    <w:p>
      <w:pPr>
        <w:pStyle w:val="Heading2"/>
      </w:pPr>
      <w:r>
        <w:t xml:space="preserve">7. Timeline</w:t>
      </w:r>
    </w:p>
    <w:p>
      <w:pPr>
        <w:numPr>
          <w:ilvl w:val="0"/>
          <w:numId w:val="1005"/>
        </w:numPr>
        <w:pStyle w:val="Compact"/>
      </w:pPr>
      <w:r>
        <w:rPr>
          <w:bCs/>
          <w:b/>
        </w:rPr>
        <w:t xml:space="preserve">Months 1-2:</w:t>
      </w:r>
      <w:r>
        <w:t xml:space="preserve"> </w:t>
      </w:r>
      <w:r>
        <w:t xml:space="preserve">Recruitment and randomization of Chicago-based SMEs.</w:t>
      </w:r>
    </w:p>
    <w:p>
      <w:pPr>
        <w:numPr>
          <w:ilvl w:val="0"/>
          <w:numId w:val="1005"/>
        </w:numPr>
        <w:pStyle w:val="Compact"/>
      </w:pPr>
      <w:r>
        <w:rPr>
          <w:bCs/>
          <w:b/>
        </w:rPr>
        <w:t xml:space="preserve">Month 3:</w:t>
      </w:r>
      <w:r>
        <w:t xml:space="preserve"> </w:t>
      </w:r>
      <w:r>
        <w:t xml:space="preserve">Baseline data collection.</w:t>
      </w:r>
    </w:p>
    <w:p>
      <w:pPr>
        <w:numPr>
          <w:ilvl w:val="0"/>
          <w:numId w:val="1005"/>
        </w:numPr>
        <w:pStyle w:val="Compact"/>
      </w:pPr>
      <w:r>
        <w:rPr>
          <w:bCs/>
          <w:b/>
        </w:rPr>
        <w:t xml:space="preserve">Months 4-9:</w:t>
      </w:r>
      <w:r>
        <w:t xml:space="preserve"> </w:t>
      </w:r>
      <w:r>
        <w:t xml:space="preserve">Active consulting intervention for Treatment Group.</w:t>
      </w:r>
    </w:p>
    <w:p>
      <w:pPr>
        <w:numPr>
          <w:ilvl w:val="0"/>
          <w:numId w:val="1005"/>
        </w:numPr>
        <w:pStyle w:val="Compact"/>
      </w:pPr>
      <w:r>
        <w:rPr>
          <w:bCs/>
          <w:b/>
        </w:rPr>
        <w:t xml:space="preserve">Month 10:</w:t>
      </w:r>
      <w:r>
        <w:t xml:space="preserve"> </w:t>
      </w:r>
      <w:r>
        <w:t xml:space="preserve">Mid-point data collection.</w:t>
      </w:r>
    </w:p>
    <w:p>
      <w:pPr>
        <w:numPr>
          <w:ilvl w:val="0"/>
          <w:numId w:val="1005"/>
        </w:numPr>
        <w:pStyle w:val="Compact"/>
      </w:pPr>
      <w:r>
        <w:rPr>
          <w:bCs/>
          <w:b/>
        </w:rPr>
        <w:t xml:space="preserve">Month 12:</w:t>
      </w:r>
      <w:r>
        <w:t xml:space="preserve"> </w:t>
      </w:r>
      <w:r>
        <w:t xml:space="preserve">Post-intervention data collection and analysis.</w:t>
      </w:r>
    </w:p>
    <w:p>
      <w:pPr>
        <w:numPr>
          <w:ilvl w:val="0"/>
          <w:numId w:val="1005"/>
        </w:numPr>
        <w:pStyle w:val="Compact"/>
      </w:pPr>
      <w:r>
        <w:rPr>
          <w:bCs/>
          <w:b/>
        </w:rPr>
        <w:t xml:space="preserve">Month 13:</w:t>
      </w:r>
      <w:r>
        <w:t xml:space="preserve"> </w:t>
      </w:r>
      <w:r>
        <w:t xml:space="preserve">Reporting and dissemination of findings.</w:t>
      </w:r>
    </w:p>
    <w:bookmarkEnd w:id="30"/>
    <w:bookmarkStart w:id="31" w:name="conclusion"/>
    <w:p>
      <w:pPr>
        <w:pStyle w:val="Heading2"/>
      </w:pPr>
      <w:r>
        <w:t xml:space="preserve">8. Conclusion</w:t>
      </w:r>
    </w:p>
    <w:p>
      <w:pPr>
        <w:pStyle w:val="FirstParagraph"/>
      </w:pPr>
      <w:r>
        <w:t xml:space="preserve">This Experiment Protocol provides a rigorous framework for evaluating the efficacy of Business Consultant services in the United States Chicago market. By controlling for variables and focusing on measurable outcomes, this study aims to contribute valuable insights to the fields of business management and economic development. The findings will inform future consulting practices and policy recommendations for SMEs in the Chicago metropolitan area.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Chicago</dc:title>
  <dc:creator/>
  <dc:language>en</dc:language>
  <cp:keywords/>
  <dcterms:created xsi:type="dcterms:W3CDTF">2026-10-10T12:42:37Z</dcterms:created>
  <dcterms:modified xsi:type="dcterms:W3CDTF">2026-10-10T12:42:37Z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