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Houston,</w:t>
      </w:r>
      <w:r>
        <w:t xml:space="preserve"> </w:t>
      </w:r>
      <w:r>
        <w:t xml:space="preserve">TX</w:t>
      </w:r>
    </w:p>
    <w:bookmarkStart w:id="20" w:name="Xc98a4ee98d4286cd7aa50be877b71a1a66b47f3"/>
    <w:p>
      <w:pPr>
        <w:pStyle w:val="Heading1"/>
      </w:pPr>
      <w:r>
        <w:t xml:space="preserve">Experiment Protocol: Strategic Impact of Business Consultant Engagement on SME Growth in United States Houston</w:t>
      </w:r>
    </w:p>
    <w:p>
      <w:pPr>
        <w:pStyle w:val="FirstParagraph"/>
      </w:pPr>
      <w:r>
        <w:rPr>
          <w:bCs/>
          <w:b/>
        </w:rPr>
        <w:t xml:space="preserve">Protocol ID:</w:t>
      </w:r>
      <w:r>
        <w:t xml:space="preserve"> </w:t>
      </w:r>
      <w:r>
        <w:t xml:space="preserve">HOU-BC-EXP-2024-001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Greater Houston Metropolitan Area, Texas, United States</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United States Houston</w:t>
      </w:r>
      <w:r>
        <w:t xml:space="preserve"> </w:t>
      </w:r>
      <w:r>
        <w:t xml:space="preserve">is characterized by a diverse mix of energy, healthcare, aerospace, and technology sectors. Small and Medium-sized Enterprises (SMEs) in this region frequently face challenges related to operational efficiency, regulatory compliance, and market expansion. While the role of a</w:t>
      </w:r>
      <w:r>
        <w:t xml:space="preserve"> </w:t>
      </w:r>
      <w:r>
        <w:rPr>
          <w:bCs/>
          <w:b/>
        </w:rPr>
        <w:t xml:space="preserve">Business Consultant</w:t>
      </w:r>
      <w:r>
        <w:t xml:space="preserve"> </w:t>
      </w:r>
      <w:r>
        <w:t xml:space="preserve">is widely recognized, there is a need for empirical data regarding the specific return on investment (ROI) and operational improvements resulting from consultant engagement within the Houston market.</w:t>
      </w:r>
    </w:p>
    <w:p>
      <w:pPr>
        <w:pStyle w:val="BodyText"/>
      </w:pPr>
      <w:r>
        <w:t xml:space="preserve">This</w:t>
      </w:r>
      <w:r>
        <w:t xml:space="preserve"> </w:t>
      </w:r>
      <w:r>
        <w:rPr>
          <w:bCs/>
          <w:b/>
        </w:rPr>
        <w:t xml:space="preserve">Experiment Protocol</w:t>
      </w:r>
      <w:r>
        <w:t xml:space="preserve"> </w:t>
      </w:r>
      <w:r>
        <w:t xml:space="preserve">outlines the methodology for a controlled study designed to measure the efficacy of external business consulting interventions compared to internal management strategies.</w:t>
      </w:r>
    </w:p>
    <w:bookmarkEnd w:id="21"/>
    <w:bookmarkStart w:id="22" w:name="objectives"/>
    <w:p>
      <w:pPr>
        <w:pStyle w:val="Heading2"/>
      </w:pPr>
      <w:r>
        <w:t xml:space="preserve">2. Objectives</w:t>
      </w:r>
    </w:p>
    <w:p>
      <w:pPr>
        <w:pStyle w:val="FirstParagraph"/>
      </w:pPr>
      <w:r>
        <w:t xml:space="preserve">The primary objective of this experiment is to quantify the impact of a</w:t>
      </w:r>
      <w:r>
        <w:t xml:space="preserve"> </w:t>
      </w:r>
      <w:r>
        <w:rPr>
          <w:bCs/>
          <w:b/>
        </w:rPr>
        <w:t xml:space="preserve">Business Consultant</w:t>
      </w:r>
      <w:r>
        <w:t xml:space="preserve"> </w:t>
      </w:r>
      <w:r>
        <w:t xml:space="preserve">on key performance indicators (KPIs) for SMEs located in</w:t>
      </w:r>
      <w:r>
        <w:t xml:space="preserve"> </w:t>
      </w:r>
      <w:r>
        <w:rPr>
          <w:bCs/>
          <w:b/>
        </w:rPr>
        <w:t xml:space="preserve">United States Houston</w:t>
      </w:r>
      <w:r>
        <w:t xml:space="preserve">. Specific goals include:</w:t>
      </w:r>
    </w:p>
    <w:p>
      <w:pPr>
        <w:numPr>
          <w:ilvl w:val="0"/>
          <w:numId w:val="1001"/>
        </w:numPr>
        <w:pStyle w:val="Compact"/>
      </w:pPr>
      <w:r>
        <w:t xml:space="preserve">To determine if consultant-led strategic planning results in higher revenue growth over a 12-month period compared to control groups.</w:t>
      </w:r>
    </w:p>
    <w:p>
      <w:pPr>
        <w:numPr>
          <w:ilvl w:val="0"/>
          <w:numId w:val="1001"/>
        </w:numPr>
        <w:pStyle w:val="Compact"/>
      </w:pPr>
      <w:r>
        <w:t xml:space="preserve">To assess improvements in operational efficiency metrics (e.g., cost reduction, process cycle time).</w:t>
      </w:r>
    </w:p>
    <w:p>
      <w:pPr>
        <w:numPr>
          <w:ilvl w:val="0"/>
          <w:numId w:val="1001"/>
        </w:numPr>
        <w:pStyle w:val="Compact"/>
      </w:pPr>
      <w:r>
        <w:t xml:space="preserve">To evaluate the adaptability of consulting frameworks to the specific cultural and regulatory environment of Houston.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randomly assigned to either the Treatment Group (engaging a</w:t>
      </w:r>
      <w:r>
        <w:t xml:space="preserve"> </w:t>
      </w:r>
      <w:r>
        <w:rPr>
          <w:bCs/>
          <w:b/>
        </w:rPr>
        <w:t xml:space="preserve">Business Consultant</w:t>
      </w:r>
      <w:r>
        <w:t xml:space="preserve">) or the Control Group (maintaining standard internal operations).</w:t>
      </w:r>
    </w:p>
    <w:bookmarkEnd w:id="23"/>
    <w:bookmarkStart w:id="24" w:name="participant-selection"/>
    <w:p>
      <w:pPr>
        <w:pStyle w:val="Heading3"/>
      </w:pPr>
      <w:r>
        <w:t xml:space="preserve">3.2 Participant Selection</w:t>
      </w:r>
    </w:p>
    <w:p>
      <w:pPr>
        <w:pStyle w:val="FirstParagraph"/>
      </w:pPr>
      <w:r>
        <w:t xml:space="preserve">Participants will be SMEs based in</w:t>
      </w:r>
      <w:r>
        <w:t xml:space="preserve"> </w:t>
      </w:r>
      <w:r>
        <w:rPr>
          <w:bCs/>
          <w:b/>
        </w:rPr>
        <w:t xml:space="preserve">United States Houston</w:t>
      </w:r>
      <w:r>
        <w:t xml:space="preserve"> </w:t>
      </w:r>
      <w:r>
        <w:t xml:space="preserve">with the following criteria:</w:t>
      </w:r>
    </w:p>
    <w:p>
      <w:pPr>
        <w:numPr>
          <w:ilvl w:val="0"/>
          <w:numId w:val="1002"/>
        </w:numPr>
        <w:pStyle w:val="Compact"/>
      </w:pPr>
      <w:r>
        <w:t xml:space="preserve">Annual revenue between $1 million and $10 million.</w:t>
      </w:r>
    </w:p>
    <w:p>
      <w:pPr>
        <w:numPr>
          <w:ilvl w:val="0"/>
          <w:numId w:val="1002"/>
        </w:numPr>
        <w:pStyle w:val="Compact"/>
      </w:pPr>
      <w:r>
        <w:t xml:space="preserve">Established for at least 3 years.</w:t>
      </w:r>
    </w:p>
    <w:p>
      <w:pPr>
        <w:numPr>
          <w:ilvl w:val="0"/>
          <w:numId w:val="1002"/>
        </w:numPr>
        <w:pStyle w:val="Compact"/>
      </w:pPr>
      <w:r>
        <w:t xml:space="preserve">Operating in non-volatile sectors (excluding speculative energy trading).</w:t>
      </w:r>
    </w:p>
    <w:p>
      <w:pPr>
        <w:numPr>
          <w:ilvl w:val="0"/>
          <w:numId w:val="1002"/>
        </w:numPr>
        <w:pStyle w:val="Compact"/>
      </w:pPr>
      <w:r>
        <w:t xml:space="preserve">Willingness to share anonymized financial and operational data.</w:t>
      </w:r>
    </w:p>
    <w:bookmarkEnd w:id="24"/>
    <w:bookmarkStart w:id="25" w:name="intervention"/>
    <w:p>
      <w:pPr>
        <w:pStyle w:val="Heading3"/>
      </w:pPr>
      <w:r>
        <w:t xml:space="preserve">3.3 Intervention</w:t>
      </w:r>
    </w:p>
    <w:p>
      <w:pPr>
        <w:pStyle w:val="FirstParagraph"/>
      </w:pPr>
      <w:r>
        <w:t xml:space="preserve">The Treatment Group will engage a certified</w:t>
      </w:r>
      <w:r>
        <w:t xml:space="preserve"> </w:t>
      </w:r>
      <w:r>
        <w:rPr>
          <w:bCs/>
          <w:b/>
        </w:rPr>
        <w:t xml:space="preserve">Business Consultant</w:t>
      </w:r>
      <w:r>
        <w:t xml:space="preserve"> </w:t>
      </w:r>
      <w:r>
        <w:t xml:space="preserve">for a duration of six months. The consultant will focus on:</w:t>
      </w:r>
    </w:p>
    <w:p>
      <w:pPr>
        <w:numPr>
          <w:ilvl w:val="0"/>
          <w:numId w:val="1003"/>
        </w:numPr>
        <w:pStyle w:val="Compact"/>
      </w:pPr>
      <w:r>
        <w:t xml:space="preserve">Strategic planning aligned with Houston market trends.</w:t>
      </w:r>
    </w:p>
    <w:p>
      <w:pPr>
        <w:numPr>
          <w:ilvl w:val="0"/>
          <w:numId w:val="1003"/>
        </w:numPr>
        <w:pStyle w:val="Compact"/>
      </w:pPr>
      <w:r>
        <w:t xml:space="preserve">Process optimization and lean management implementation.</w:t>
      </w:r>
    </w:p>
    <w:p>
      <w:pPr>
        <w:numPr>
          <w:ilvl w:val="0"/>
          <w:numId w:val="1003"/>
        </w:numPr>
        <w:pStyle w:val="Compact"/>
      </w:pPr>
      <w:r>
        <w:t xml:space="preserve">Financial restructuring and cost-benefit analysis.</w:t>
      </w:r>
    </w:p>
    <w:p>
      <w:pPr>
        <w:pStyle w:val="FirstParagraph"/>
      </w:pPr>
      <w:r>
        <w:t xml:space="preserve">The Control Group will receive no external consulting support but will be encouraged to continue their existing management practices.</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(Month 0), Mid-Point (Month 6), and End-Line (Month 12).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Revenue Growth</w:t>
            </w:r>
          </w:p>
        </w:tc>
        <w:tc>
          <w:tcPr/>
          <w:p>
            <w:pPr>
              <w:pStyle w:val="Compact"/>
              <w:jc w:val="left"/>
            </w:pPr>
            <w:r>
              <w:t xml:space="preserve">Percentage change in annual revenue.</w:t>
            </w:r>
          </w:p>
        </w:tc>
        <w:tc>
          <w:tcPr/>
          <w:p>
            <w:pPr>
              <w:pStyle w:val="Compact"/>
              <w:jc w:val="left"/>
            </w:pPr>
            <w:r>
              <w:t xml:space="preserve">Financial Statements</w:t>
            </w:r>
          </w:p>
        </w:tc>
      </w:tr>
      <w:tr>
        <w:tc>
          <w:tcPr/>
          <w:p>
            <w:pPr>
              <w:pStyle w:val="Compact"/>
              <w:jc w:val="left"/>
            </w:pPr>
            <w:r>
              <w:t xml:space="preserve">Operational Costs</w:t>
            </w:r>
          </w:p>
        </w:tc>
        <w:tc>
          <w:tcPr/>
          <w:p>
            <w:pPr>
              <w:pStyle w:val="Compact"/>
              <w:jc w:val="left"/>
            </w:pPr>
            <w:r>
              <w:t xml:space="preserve">Total operational expenses as a percentage of revenue.</w:t>
            </w:r>
          </w:p>
        </w:tc>
        <w:tc>
          <w:tcPr/>
          <w:p>
            <w:pPr>
              <w:pStyle w:val="Compact"/>
              <w:jc w:val="left"/>
            </w:pPr>
            <w:r>
              <w:t xml:space="preserve">Accounting Records</w:t>
            </w:r>
          </w:p>
        </w:tc>
      </w:tr>
      <w:tr>
        <w:tc>
          <w:tcPr/>
          <w:p>
            <w:pPr>
              <w:pStyle w:val="Compact"/>
              <w:jc w:val="left"/>
            </w:pPr>
            <w:r>
              <w:t xml:space="preserve">Employee Satisfaction</w:t>
            </w:r>
          </w:p>
        </w:tc>
        <w:tc>
          <w:tcPr/>
          <w:p>
            <w:pPr>
              <w:pStyle w:val="Compact"/>
              <w:jc w:val="left"/>
            </w:pPr>
            <w:r>
              <w:t xml:space="preserve">Survey-based score on workplace efficiency and morale.</w:t>
            </w:r>
          </w:p>
        </w:tc>
        <w:tc>
          <w:tcPr/>
          <w:p>
            <w:pPr>
              <w:pStyle w:val="Compact"/>
              <w:jc w:val="left"/>
            </w:pPr>
            <w:r>
              <w:t xml:space="preserve">HR Surveys</w:t>
            </w:r>
          </w:p>
        </w:tc>
      </w:tr>
      <w:tr>
        <w:tc>
          <w:tcPr/>
          <w:p>
            <w:pPr>
              <w:pStyle w:val="Compact"/>
              <w:jc w:val="left"/>
            </w:pPr>
            <w:r>
              <w:t xml:space="preserve">Market Share</w:t>
            </w:r>
          </w:p>
        </w:tc>
        <w:tc>
          <w:tcPr/>
          <w:p>
            <w:pPr>
              <w:pStyle w:val="Compact"/>
              <w:jc w:val="left"/>
            </w:pPr>
            <w:r>
              <w:t xml:space="preserve">Estimated change in local market share within Houston.</w:t>
            </w:r>
          </w:p>
        </w:tc>
        <w:tc>
          <w:tcPr/>
          <w:p>
            <w:pPr>
              <w:pStyle w:val="Compact"/>
              <w:jc w:val="left"/>
            </w:pPr>
            <w:r>
              <w:t xml:space="preserve">Industry Reports</w:t>
            </w:r>
          </w:p>
        </w:tc>
      </w:tr>
    </w:tbl>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standards for business research. All participants will provide informed consent. Data will be anonymized to protect the confidentiality of the businesses involved. The study has been reviewed to ensure no conflict of interest with the selected</w:t>
      </w:r>
      <w:r>
        <w:t xml:space="preserve"> </w:t>
      </w:r>
      <w:r>
        <w:rPr>
          <w:bCs/>
          <w:b/>
        </w:rPr>
        <w:t xml:space="preserve">Business Consultant</w:t>
      </w:r>
      <w:r>
        <w:t xml:space="preserve"> </w:t>
      </w:r>
      <w:r>
        <w:t xml:space="preserve">firms.</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4"/>
        </w:numPr>
        <w:pStyle w:val="Compact"/>
      </w:pPr>
      <w:r>
        <w:rPr>
          <w:bCs/>
          <w:b/>
        </w:rPr>
        <w:t xml:space="preserve">Consultant Bias:</w:t>
      </w:r>
      <w:r>
        <w:t xml:space="preserve"> </w:t>
      </w:r>
      <w:r>
        <w:t xml:space="preserve">Mitigated by using multiple consultants with standardized frameworks.</w:t>
      </w:r>
    </w:p>
    <w:p>
      <w:pPr>
        <w:numPr>
          <w:ilvl w:val="0"/>
          <w:numId w:val="1004"/>
        </w:numPr>
        <w:pStyle w:val="Compact"/>
      </w:pPr>
      <w:r>
        <w:rPr>
          <w:bCs/>
          <w:b/>
        </w:rPr>
        <w:t xml:space="preserve">Market Volatility:</w:t>
      </w:r>
      <w:r>
        <w:t xml:space="preserve"> </w:t>
      </w:r>
      <w:r>
        <w:t xml:space="preserve">Houston's economy can be sensitive to oil prices. Mitigated by selecting diverse sectors and using statistical controls.</w:t>
      </w:r>
    </w:p>
    <w:p>
      <w:pPr>
        <w:numPr>
          <w:ilvl w:val="0"/>
          <w:numId w:val="1004"/>
        </w:numPr>
        <w:pStyle w:val="Compact"/>
      </w:pPr>
      <w:r>
        <w:rPr>
          <w:bCs/>
          <w:b/>
        </w:rPr>
        <w:t xml:space="preserve">Data Integrity:</w:t>
      </w:r>
      <w:r>
        <w:t xml:space="preserve"> </w:t>
      </w:r>
      <w:r>
        <w:t xml:space="preserve">Mitigated by third-party auditing of financial data.</w:t>
      </w:r>
    </w:p>
    <w:bookmarkEnd w:id="29"/>
    <w:bookmarkStart w:id="30" w:name="timeline"/>
    <w:p>
      <w:pPr>
        <w:pStyle w:val="Heading2"/>
      </w:pPr>
      <w:r>
        <w:t xml:space="preserve">7. Timeline</w:t>
      </w:r>
    </w:p>
    <w:p>
      <w:pPr>
        <w:numPr>
          <w:ilvl w:val="0"/>
          <w:numId w:val="1005"/>
        </w:numPr>
        <w:pStyle w:val="Compact"/>
      </w:pPr>
      <w:r>
        <w:rPr>
          <w:bCs/>
          <w:b/>
        </w:rPr>
        <w:t xml:space="preserve">Months 1-2:</w:t>
      </w:r>
      <w:r>
        <w:t xml:space="preserve"> </w:t>
      </w:r>
      <w:r>
        <w:t xml:space="preserve">Recruitment and baseline data collection.</w:t>
      </w:r>
    </w:p>
    <w:p>
      <w:pPr>
        <w:numPr>
          <w:ilvl w:val="0"/>
          <w:numId w:val="1005"/>
        </w:numPr>
        <w:pStyle w:val="Compact"/>
      </w:pPr>
      <w:r>
        <w:rPr>
          <w:bCs/>
          <w:b/>
        </w:rPr>
        <w:t xml:space="preserve">Months 3-8:</w:t>
      </w:r>
      <w:r>
        <w:t xml:space="preserve"> </w:t>
      </w:r>
      <w:r>
        <w:t xml:space="preserve">Implementation of consulting intervention.</w:t>
      </w:r>
    </w:p>
    <w:p>
      <w:pPr>
        <w:numPr>
          <w:ilvl w:val="0"/>
          <w:numId w:val="1005"/>
        </w:numPr>
        <w:pStyle w:val="Compact"/>
      </w:pPr>
      <w:r>
        <w:rPr>
          <w:bCs/>
          <w:b/>
        </w:rPr>
        <w:t xml:space="preserve">Month 9:</w:t>
      </w:r>
      <w:r>
        <w:t xml:space="preserve"> </w:t>
      </w:r>
      <w:r>
        <w:t xml:space="preserve">Mid-point data collection.</w:t>
      </w:r>
    </w:p>
    <w:p>
      <w:pPr>
        <w:numPr>
          <w:ilvl w:val="0"/>
          <w:numId w:val="1005"/>
        </w:numPr>
        <w:pStyle w:val="Compact"/>
      </w:pPr>
      <w:r>
        <w:rPr>
          <w:bCs/>
          <w:b/>
        </w:rPr>
        <w:t xml:space="preserve">Months 10-12:</w:t>
      </w:r>
      <w:r>
        <w:t xml:space="preserve"> </w:t>
      </w:r>
      <w:r>
        <w:t xml:space="preserve">Post-intervention monitoring and end-line data collection.</w:t>
      </w:r>
    </w:p>
    <w:p>
      <w:pPr>
        <w:numPr>
          <w:ilvl w:val="0"/>
          <w:numId w:val="1005"/>
        </w:numPr>
        <w:pStyle w:val="Compact"/>
      </w:pPr>
      <w:r>
        <w:rPr>
          <w:bCs/>
          <w:b/>
        </w:rPr>
        <w:t xml:space="preserve">Month 13:</w:t>
      </w:r>
      <w:r>
        <w:t xml:space="preserve"> </w:t>
      </w:r>
      <w:r>
        <w:t xml:space="preserve">Data analysis and report generation.</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value proposition of a</w:t>
      </w:r>
      <w:r>
        <w:t xml:space="preserve"> </w:t>
      </w:r>
      <w:r>
        <w:rPr>
          <w:bCs/>
          <w:b/>
        </w:rPr>
        <w:t xml:space="preserve">Business Consultant</w:t>
      </w:r>
      <w:r>
        <w:t xml:space="preserve"> </w:t>
      </w:r>
      <w:r>
        <w:t xml:space="preserve">in the context of</w:t>
      </w:r>
      <w:r>
        <w:t xml:space="preserve"> </w:t>
      </w:r>
      <w:r>
        <w:rPr>
          <w:bCs/>
          <w:b/>
        </w:rPr>
        <w:t xml:space="preserve">United States Houston</w:t>
      </w:r>
      <w:r>
        <w:t xml:space="preserve">. The findings will contribute to the broader understanding of consulting efficacy in dynamic urban economies and offer actionable insights for SME stakeholders.</w:t>
      </w:r>
    </w:p>
    <w:bookmarkEnd w:id="31"/>
    <w:p>
      <w:pPr>
        <w:pStyle w:val="BodyText"/>
      </w:pPr>
      <w:r>
        <w:t xml:space="preserve">Document Version: 1.0 | Prepared for: Houston Business Research Initiative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Houston, TX</dc:title>
  <dc:creator/>
  <dc:language>en</dc:language>
  <cp:keywords/>
  <dcterms:created xsi:type="dcterms:W3CDTF">2026-10-10T07:06:10Z</dcterms:created>
  <dcterms:modified xsi:type="dcterms:W3CDTF">2026-10-10T07:06:10Z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