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Miami</w:t>
      </w:r>
    </w:p>
    <w:bookmarkStart w:id="30" w:name="Xb71fc2a75dad48d54fd281b7b199da183550ba5"/>
    <w:p>
      <w:pPr>
        <w:pStyle w:val="Heading1"/>
      </w:pPr>
      <w:r>
        <w:t xml:space="preserve">Experiment Protocol: Impact of Business Consultant Interventions on SME Growth in United States Miami</w:t>
      </w:r>
    </w:p>
    <w:bookmarkStart w:id="20"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United States Miami</w:t>
      </w:r>
      <w:r>
        <w:t xml:space="preserve"> </w:t>
      </w:r>
      <w:r>
        <w:t xml:space="preserve">is characterized by a dynamic mix of international trade, tourism, real estate, and a burgeoning technology sector. Small and Medium-sized Enterprises (SMEs) form the backbone of this regional economy. However, many local businesses face challenges related to operational efficiency, market penetration, and regulatory compliance. The role of the</w:t>
      </w:r>
      <w:r>
        <w:t xml:space="preserve"> </w:t>
      </w:r>
      <w:r>
        <w:rPr>
          <w:bCs/>
          <w:b/>
        </w:rPr>
        <w:t xml:space="preserve">Business Consultant</w:t>
      </w:r>
      <w:r>
        <w:t xml:space="preserve"> </w:t>
      </w:r>
      <w:r>
        <w:t xml:space="preserve">is theoretically pivotal in addressing these challenges, yet empirical data regarding the specific efficacy of consulting interventions within the unique cultural and economic context of Miami remains fragmented.</w:t>
      </w:r>
    </w:p>
    <w:p>
      <w:pPr>
        <w:pStyle w:val="BodyText"/>
      </w:pPr>
      <w:r>
        <w:t xml:space="preserve">This</w:t>
      </w:r>
      <w:r>
        <w:t xml:space="preserve"> </w:t>
      </w:r>
      <w:r>
        <w:rPr>
          <w:bCs/>
          <w:b/>
        </w:rPr>
        <w:t xml:space="preserve">Experiment Protocol</w:t>
      </w:r>
      <w:r>
        <w:t xml:space="preserve"> </w:t>
      </w:r>
      <w:r>
        <w:t xml:space="preserve">outlines a rigorous methodology to evaluate the tangible impact of professional consulting services on business performance metrics. By isolating the variable of consultant involvement, this study aims to provide actionable insights for stakeholders in the Miami metropolitan area.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change in revenue growth rates for SMEs in Miami that engage a certified</w:t>
      </w:r>
      <w:r>
        <w:t xml:space="preserve"> </w:t>
      </w:r>
      <w:r>
        <w:rPr>
          <w:bCs/>
          <w:b/>
        </w:rPr>
        <w:t xml:space="preserve">Business Consultant</w:t>
      </w:r>
      <w:r>
        <w:t xml:space="preserve"> </w:t>
      </w:r>
      <w:r>
        <w:t xml:space="preserve">compared to a control group.</w:t>
      </w:r>
    </w:p>
    <w:p>
      <w:pPr>
        <w:numPr>
          <w:ilvl w:val="0"/>
          <w:numId w:val="1001"/>
        </w:numPr>
        <w:pStyle w:val="Compact"/>
      </w:pPr>
      <w:r>
        <w:t xml:space="preserve">To assess improvements in operational efficiency metrics (e.g., cost reduction, process speed) attributable to consulting interventions.</w:t>
      </w:r>
    </w:p>
    <w:p>
      <w:pPr>
        <w:numPr>
          <w:ilvl w:val="0"/>
          <w:numId w:val="1001"/>
        </w:numPr>
        <w:pStyle w:val="Compact"/>
      </w:pPr>
      <w:r>
        <w:t xml:space="preserve">To analyze the correlation between specific consulting methodologies and client satisfaction scores within the diverse demographic of</w:t>
      </w:r>
      <w:r>
        <w:t xml:space="preserve"> </w:t>
      </w:r>
      <w:r>
        <w:rPr>
          <w:bCs/>
          <w:b/>
        </w:rPr>
        <w:t xml:space="preserve">United States Miami</w:t>
      </w:r>
      <w:r>
        <w:t xml:space="preserve">.</w:t>
      </w:r>
    </w:p>
    <w:p>
      <w:pPr>
        <w:numPr>
          <w:ilvl w:val="0"/>
          <w:numId w:val="1001"/>
        </w:numPr>
        <w:pStyle w:val="Compact"/>
      </w:pPr>
      <w:r>
        <w:t xml:space="preserve">To determine the return on investment (ROI) for businesses hiring external consultants over a six-month period.</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This approach is selected to minimize bias and establish a clear causal link between the</w:t>
      </w:r>
      <w:r>
        <w:t xml:space="preserve"> </w:t>
      </w:r>
      <w:r>
        <w:rPr>
          <w:bCs/>
          <w:b/>
        </w:rPr>
        <w:t xml:space="preserve">Business Consultant</w:t>
      </w:r>
      <w:r>
        <w:t xml:space="preserve"> </w:t>
      </w:r>
      <w:r>
        <w:t xml:space="preserve">intervention and business outcomes. The study will be conducted over a period of six months, covering both peak and off-peak economic seasons relevant to the Miami market.</w:t>
      </w:r>
    </w:p>
    <w:bookmarkEnd w:id="22"/>
    <w:bookmarkStart w:id="23" w:name="participant-selection"/>
    <w:p>
      <w:pPr>
        <w:pStyle w:val="Heading3"/>
      </w:pPr>
      <w:r>
        <w:t xml:space="preserve">3.2 Participant Selection</w:t>
      </w:r>
    </w:p>
    <w:p>
      <w:pPr>
        <w:pStyle w:val="FirstParagraph"/>
      </w:pPr>
      <w:r>
        <w:t xml:space="preserve">Participants will be SMEs located within Miami-Dade County,</w:t>
      </w:r>
      <w:r>
        <w:t xml:space="preserve"> </w:t>
      </w:r>
      <w:r>
        <w:rPr>
          <w:bCs/>
          <w:b/>
        </w:rPr>
        <w:t xml:space="preserve">United States Miami</w:t>
      </w:r>
      <w:r>
        <w:t xml:space="preserve">. To ensure relevance, the following inclusion criteria will be applied:</w:t>
      </w:r>
    </w:p>
    <w:p>
      <w:pPr>
        <w:numPr>
          <w:ilvl w:val="0"/>
          <w:numId w:val="1002"/>
        </w:numPr>
        <w:pStyle w:val="Compact"/>
      </w:pPr>
      <w:r>
        <w:t xml:space="preserve">Established for at least two years.</w:t>
      </w:r>
    </w:p>
    <w:p>
      <w:pPr>
        <w:numPr>
          <w:ilvl w:val="0"/>
          <w:numId w:val="1002"/>
        </w:numPr>
        <w:pStyle w:val="Compact"/>
      </w:pPr>
      <w:r>
        <w:t xml:space="preserve">Annual revenue between $500,000 and $5,000,000.</w:t>
      </w:r>
    </w:p>
    <w:p>
      <w:pPr>
        <w:numPr>
          <w:ilvl w:val="0"/>
          <w:numId w:val="1002"/>
        </w:numPr>
        <w:pStyle w:val="Compact"/>
      </w:pPr>
      <w:r>
        <w:t xml:space="preserve">Willingness to share financial and operational data for the duration of the study.</w:t>
      </w:r>
    </w:p>
    <w:p>
      <w:pPr>
        <w:numPr>
          <w:ilvl w:val="0"/>
          <w:numId w:val="1002"/>
        </w:numPr>
        <w:pStyle w:val="Compact"/>
      </w:pPr>
      <w:r>
        <w:t xml:space="preserve">No prior engagement with a strategic</w:t>
      </w:r>
      <w:r>
        <w:t xml:space="preserve"> </w:t>
      </w:r>
      <w:r>
        <w:rPr>
          <w:bCs/>
          <w:b/>
        </w:rPr>
        <w:t xml:space="preserve">Business Consultant</w:t>
      </w:r>
      <w:r>
        <w:t xml:space="preserve"> </w:t>
      </w:r>
      <w:r>
        <w:t xml:space="preserve">in the last 12 months.</w:t>
      </w:r>
    </w:p>
    <w:p>
      <w:pPr>
        <w:pStyle w:val="FirstParagraph"/>
      </w:pPr>
      <w:r>
        <w:t xml:space="preserve">A total of 100 businesses will be recruited. These will be randomly assigned to two groups:</w:t>
      </w:r>
    </w:p>
    <w:p>
      <w:pPr>
        <w:numPr>
          <w:ilvl w:val="0"/>
          <w:numId w:val="1003"/>
        </w:numPr>
        <w:pStyle w:val="Compact"/>
      </w:pPr>
      <w:r>
        <w:rPr>
          <w:bCs/>
          <w:b/>
        </w:rPr>
        <w:t xml:space="preserve">Treatment Group (n=50):</w:t>
      </w:r>
      <w:r>
        <w:t xml:space="preserve"> </w:t>
      </w:r>
      <w:r>
        <w:t xml:space="preserve">Businesses that will engage a vetted</w:t>
      </w:r>
      <w:r>
        <w:t xml:space="preserve"> </w:t>
      </w:r>
      <w:r>
        <w:rPr>
          <w:bCs/>
          <w:b/>
        </w:rPr>
        <w:t xml:space="preserve">Business Consultant</w:t>
      </w:r>
      <w:r>
        <w:t xml:space="preserve"> </w:t>
      </w:r>
      <w:r>
        <w:t xml:space="preserve">for a structured 6-month engagement.</w:t>
      </w:r>
    </w:p>
    <w:p>
      <w:pPr>
        <w:numPr>
          <w:ilvl w:val="0"/>
          <w:numId w:val="1003"/>
        </w:numPr>
        <w:pStyle w:val="Compact"/>
      </w:pPr>
      <w:r>
        <w:rPr>
          <w:bCs/>
          <w:b/>
        </w:rPr>
        <w:t xml:space="preserve">Control Group (n=50):</w:t>
      </w:r>
      <w:r>
        <w:t xml:space="preserve"> </w:t>
      </w:r>
      <w:r>
        <w:t xml:space="preserve">Businesses that will continue operations without external consulting intervention.</w:t>
      </w:r>
    </w:p>
    <w:bookmarkEnd w:id="23"/>
    <w:bookmarkStart w:id="24" w:name="the-intervention"/>
    <w:p>
      <w:pPr>
        <w:pStyle w:val="Heading3"/>
      </w:pPr>
      <w:r>
        <w:t xml:space="preserve">3.3 The Intervention</w:t>
      </w:r>
    </w:p>
    <w:p>
      <w:pPr>
        <w:pStyle w:val="FirstParagraph"/>
      </w:pPr>
      <w:r>
        <w:t xml:space="preserve">The</w:t>
      </w:r>
      <w:r>
        <w:t xml:space="preserve"> </w:t>
      </w:r>
      <w:r>
        <w:rPr>
          <w:bCs/>
          <w:b/>
        </w:rPr>
        <w:t xml:space="preserve">Business Consultant</w:t>
      </w:r>
      <w:r>
        <w:t xml:space="preserve"> </w:t>
      </w:r>
      <w:r>
        <w:t xml:space="preserve">assigned to the Treatment Group must meet specific qualifications, including a minimum of five years of experience and familiarity with the regulatory environment of</w:t>
      </w:r>
      <w:r>
        <w:t xml:space="preserve"> </w:t>
      </w:r>
      <w:r>
        <w:rPr>
          <w:bCs/>
          <w:b/>
        </w:rPr>
        <w:t xml:space="preserve">United States Miami</w:t>
      </w:r>
      <w:r>
        <w:t xml:space="preserve">. The intervention will follow a standardized framework:</w:t>
      </w:r>
    </w:p>
    <w:p>
      <w:pPr>
        <w:numPr>
          <w:ilvl w:val="0"/>
          <w:numId w:val="1004"/>
        </w:numPr>
        <w:pStyle w:val="Compact"/>
      </w:pPr>
      <w:r>
        <w:rPr>
          <w:bCs/>
          <w:b/>
        </w:rPr>
        <w:t xml:space="preserve">Diagnostic Phase (Weeks 1-4):</w:t>
      </w:r>
      <w:r>
        <w:t xml:space="preserve"> </w:t>
      </w:r>
      <w:r>
        <w:t xml:space="preserve">Comprehensive audit of current business processes, financial health, and market positioning.</w:t>
      </w:r>
    </w:p>
    <w:p>
      <w:pPr>
        <w:numPr>
          <w:ilvl w:val="0"/>
          <w:numId w:val="1004"/>
        </w:numPr>
        <w:pStyle w:val="Compact"/>
      </w:pPr>
      <w:r>
        <w:rPr>
          <w:bCs/>
          <w:b/>
        </w:rPr>
        <w:t xml:space="preserve">Strategy Formulation (Weeks 5-8):</w:t>
      </w:r>
      <w:r>
        <w:t xml:space="preserve"> </w:t>
      </w:r>
      <w:r>
        <w:t xml:space="preserve">Development of a tailored strategic plan addressing identified gaps.</w:t>
      </w:r>
    </w:p>
    <w:p>
      <w:pPr>
        <w:numPr>
          <w:ilvl w:val="0"/>
          <w:numId w:val="1004"/>
        </w:numPr>
        <w:pStyle w:val="Compact"/>
      </w:pPr>
      <w:r>
        <w:rPr>
          <w:bCs/>
          <w:b/>
        </w:rPr>
        <w:t xml:space="preserve">Implementation Support (Weeks 9-20):</w:t>
      </w:r>
      <w:r>
        <w:t xml:space="preserve"> </w:t>
      </w:r>
      <w:r>
        <w:t xml:space="preserve">Active guidance in executing the strategy, including staff training and process re-engineering.</w:t>
      </w:r>
    </w:p>
    <w:p>
      <w:pPr>
        <w:numPr>
          <w:ilvl w:val="0"/>
          <w:numId w:val="1004"/>
        </w:numPr>
        <w:pStyle w:val="Compact"/>
      </w:pPr>
      <w:r>
        <w:rPr>
          <w:bCs/>
          <w:b/>
        </w:rPr>
        <w:t xml:space="preserve">Review and Optimization (Weeks 21-24):</w:t>
      </w:r>
      <w:r>
        <w:t xml:space="preserve"> </w:t>
      </w:r>
      <w:r>
        <w:t xml:space="preserve">Assessment of initial results and adjustment of tactics.</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Baseline (Month 0), Mid-point (Month 3), and End-line (Month 6). 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Indicators</w:t>
            </w:r>
          </w:p>
        </w:tc>
        <w:tc>
          <w:tcPr/>
          <w:p>
            <w:pPr>
              <w:pStyle w:val="Compact"/>
              <w:jc w:val="left"/>
            </w:pPr>
            <w:r>
              <w:t xml:space="preserve">Measurement Method</w:t>
            </w:r>
          </w:p>
        </w:tc>
      </w:tr>
      <w:tr>
        <w:tc>
          <w:tcPr/>
          <w:p>
            <w:pPr>
              <w:pStyle w:val="Compact"/>
              <w:jc w:val="left"/>
            </w:pPr>
            <w:r>
              <w:t xml:space="preserve">Financial Performance</w:t>
            </w:r>
          </w:p>
        </w:tc>
        <w:tc>
          <w:tcPr/>
          <w:p>
            <w:pPr>
              <w:pStyle w:val="Compact"/>
              <w:jc w:val="left"/>
            </w:pPr>
            <w:r>
              <w:t xml:space="preserve">Revenue Growth, Net Profit Margin, Cost Savings</w:t>
            </w:r>
          </w:p>
        </w:tc>
        <w:tc>
          <w:tcPr/>
          <w:p>
            <w:pPr>
              <w:pStyle w:val="Compact"/>
              <w:jc w:val="left"/>
            </w:pPr>
            <w:r>
              <w:t xml:space="preserve">Financial Statements</w:t>
            </w:r>
          </w:p>
        </w:tc>
      </w:tr>
      <w:tr>
        <w:tc>
          <w:tcPr/>
          <w:p>
            <w:pPr>
              <w:pStyle w:val="Compact"/>
              <w:jc w:val="left"/>
            </w:pPr>
            <w:r>
              <w:t xml:space="preserve">Operational Efficiency</w:t>
            </w:r>
          </w:p>
        </w:tc>
        <w:tc>
          <w:tcPr/>
          <w:p>
            <w:pPr>
              <w:pStyle w:val="Compact"/>
              <w:jc w:val="left"/>
            </w:pPr>
            <w:r>
              <w:t xml:space="preserve">Process Cycle Time, Error Rates, Resource Utilization</w:t>
            </w:r>
          </w:p>
        </w:tc>
        <w:tc>
          <w:tcPr/>
          <w:p>
            <w:pPr>
              <w:pStyle w:val="Compact"/>
              <w:jc w:val="left"/>
            </w:pPr>
            <w:r>
              <w:t xml:space="preserve">Operational Logs</w:t>
            </w:r>
          </w:p>
        </w:tc>
      </w:tr>
      <w:tr>
        <w:tc>
          <w:tcPr/>
          <w:p>
            <w:pPr>
              <w:pStyle w:val="Compact"/>
              <w:jc w:val="left"/>
            </w:pPr>
            <w:r>
              <w:t xml:space="preserve">Market Position</w:t>
            </w:r>
          </w:p>
        </w:tc>
        <w:tc>
          <w:tcPr/>
          <w:p>
            <w:pPr>
              <w:pStyle w:val="Compact"/>
              <w:jc w:val="left"/>
            </w:pPr>
            <w:r>
              <w:t xml:space="preserve">Customer Acquisition Cost, Customer Retention Rate</w:t>
            </w:r>
          </w:p>
        </w:tc>
        <w:tc>
          <w:tcPr/>
          <w:p>
            <w:pPr>
              <w:pStyle w:val="Compact"/>
              <w:jc w:val="left"/>
            </w:pPr>
            <w:r>
              <w:t xml:space="preserve">CRM Data</w:t>
            </w:r>
          </w:p>
        </w:tc>
      </w:tr>
      <w:tr>
        <w:tc>
          <w:tcPr/>
          <w:p>
            <w:pPr>
              <w:pStyle w:val="Compact"/>
              <w:jc w:val="left"/>
            </w:pPr>
            <w:r>
              <w:t xml:space="preserve">Stakeholder Satisfaction</w:t>
            </w:r>
          </w:p>
        </w:tc>
        <w:tc>
          <w:tcPr/>
          <w:p>
            <w:pPr>
              <w:pStyle w:val="Compact"/>
              <w:jc w:val="left"/>
            </w:pPr>
            <w:r>
              <w:t xml:space="preserve">Employee Engagement, Client Satisfaction Scores</w:t>
            </w:r>
          </w:p>
        </w:tc>
        <w:tc>
          <w:tcPr/>
          <w:p>
            <w:pPr>
              <w:pStyle w:val="Compact"/>
              <w:jc w:val="left"/>
            </w:pPr>
            <w:r>
              <w:t xml:space="preserve">Surveys</w:t>
            </w:r>
          </w:p>
        </w:tc>
      </w:tr>
    </w:tbl>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participating businesses in</w:t>
      </w:r>
      <w:r>
        <w:t xml:space="preserve"> </w:t>
      </w:r>
      <w:r>
        <w:rPr>
          <w:bCs/>
          <w:b/>
        </w:rPr>
        <w:t xml:space="preserve">United States Miami</w:t>
      </w:r>
      <w:r>
        <w:t xml:space="preserve"> </w:t>
      </w:r>
      <w:r>
        <w:t xml:space="preserve">will provide informed consent, fully understanding the data collection requirements. Confidentiality of proprietary business information will be maintained through encrypted data storage and anonymized reporting. The</w:t>
      </w:r>
      <w:r>
        <w:t xml:space="preserve"> </w:t>
      </w:r>
      <w:r>
        <w:rPr>
          <w:bCs/>
          <w:b/>
        </w:rPr>
        <w:t xml:space="preserve">Business Consultant</w:t>
      </w:r>
      <w:r>
        <w:t xml:space="preserve"> </w:t>
      </w:r>
      <w:r>
        <w:t xml:space="preserve">will act in the best interest of the client, avoiding conflicts of interest.</w:t>
      </w:r>
    </w:p>
    <w:bookmarkEnd w:id="27"/>
    <w:bookmarkStart w:id="28" w:name="risk-management"/>
    <w:p>
      <w:pPr>
        <w:pStyle w:val="Heading2"/>
      </w:pPr>
      <w:r>
        <w:t xml:space="preserve">6. Risk Management</w:t>
      </w:r>
    </w:p>
    <w:p>
      <w:pPr>
        <w:pStyle w:val="FirstParagraph"/>
      </w:pPr>
      <w:r>
        <w:t xml:space="preserve">Potential risks include business attrition from the study and external economic factors affecting Miami's market. To mitigate attrition, participants will receive a summary report of the findings. To control for external factors, the control group serves as a baseline for market-wide trends, allowing for the isolation of the consultant's specific impact.</w:t>
      </w:r>
    </w:p>
    <w:bookmarkEnd w:id="28"/>
    <w:bookmarkStart w:id="29" w:name="conclusion"/>
    <w:p>
      <w:pPr>
        <w:pStyle w:val="Heading2"/>
      </w:pPr>
      <w:r>
        <w:t xml:space="preserve">7. Conclusion</w:t>
      </w:r>
    </w:p>
    <w:p>
      <w:pPr>
        <w:pStyle w:val="FirstParagraph"/>
      </w:pPr>
      <w:r>
        <w:t xml:space="preserve">By executing this</w:t>
      </w:r>
      <w:r>
        <w:t xml:space="preserve"> </w:t>
      </w:r>
      <w:r>
        <w:rPr>
          <w:bCs/>
          <w:b/>
        </w:rPr>
        <w:t xml:space="preserve">Experiment Protocol</w:t>
      </w:r>
      <w:r>
        <w:t xml:space="preserve">, we aim to generate robust evidence regarding the value proposition of the</w:t>
      </w:r>
      <w:r>
        <w:t xml:space="preserve"> </w:t>
      </w:r>
      <w:r>
        <w:rPr>
          <w:bCs/>
          <w:b/>
        </w:rPr>
        <w:t xml:space="preserve">Business Consultant</w:t>
      </w:r>
      <w:r>
        <w:t xml:space="preserve"> </w:t>
      </w:r>
      <w:r>
        <w:t xml:space="preserve">in the specific context of</w:t>
      </w:r>
      <w:r>
        <w:t xml:space="preserve"> </w:t>
      </w:r>
      <w:r>
        <w:rPr>
          <w:bCs/>
          <w:b/>
        </w:rPr>
        <w:t xml:space="preserve">United States Miami</w:t>
      </w:r>
      <w:r>
        <w:t xml:space="preserve">. The findings will contribute to the broader understanding of management consulting efficacy and provide local businesses with data-driven guidance on strategic resource allocation.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Miami</dc:title>
  <dc:creator/>
  <dc:language>en</dc:language>
  <cp:keywords/>
  <dcterms:created xsi:type="dcterms:W3CDTF">2026-10-10T07:06:13Z</dcterms:created>
  <dcterms:modified xsi:type="dcterms:W3CDTF">2026-10-10T07:06:13Z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