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NYC</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Quantitative Assessment of Business Consultant Impact on Small-to-Medium Enterprise (SME) Growth in the United States New York City Metropolitan Area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1.0 Introduction and Background</w:t>
      </w:r>
    </w:p>
    <w:p>
      <w:pPr>
        <w:pStyle w:val="BodyText"/>
      </w:pPr>
      <w:r>
        <w:t xml:space="preserve">The role of the Business Consultant in the modern economy is often perceived as indispensable, yet empirical data regarding their specific impact on organizational performance remains fragmented. This Experiment Protocol outlines a rigorous study designed to measure the efficacy of external Business Consultant interventions within the unique economic ecosystem of the United States New York City metropolitan area.</w:t>
      </w:r>
    </w:p>
    <w:p>
      <w:pPr>
        <w:pStyle w:val="BodyText"/>
      </w:pPr>
      <w:r>
        <w:t xml:space="preserve">New York City represents a high-density, high-velocity market characterized by intense competition, regulatory complexity, and diverse industry verticals. Understanding how a Business Consultant navigates these specific constraints to deliver value is critical for stakeholders across the United States.</w:t>
      </w:r>
    </w:p>
    <w:p>
      <w:pPr>
        <w:pStyle w:val="BodyText"/>
      </w:pPr>
      <w:r>
        <w:t xml:space="preserve">2.0 Objectives</w:t>
      </w:r>
    </w:p>
    <w:p>
      <w:pPr>
        <w:pStyle w:val="BodyText"/>
      </w:pPr>
      <w:r>
        <w:t xml:space="preserve">The primary objective of this experiment is to determine the causal relationship between the engagement of a qualified Business Consultant and measurable improvements in operational efficiency and revenue growth for SMEs located in New York City.</w:t>
      </w:r>
    </w:p>
    <w:p>
      <w:pPr>
        <w:pStyle w:val="BodyText"/>
      </w:pPr>
      <w:r>
        <w:t xml:space="preserve">Secondary objectives include:</w:t>
      </w:r>
    </w:p>
    <w:p>
      <w:pPr>
        <w:numPr>
          <w:ilvl w:val="0"/>
          <w:numId w:val="1001"/>
        </w:numPr>
        <w:pStyle w:val="Compact"/>
      </w:pPr>
      <w:r>
        <w:t xml:space="preserve">Identifying which specific consulting methodologies yield the highest return on investment (ROI) in the New York City market.</w:t>
      </w:r>
    </w:p>
    <w:p>
      <w:pPr>
        <w:numPr>
          <w:ilvl w:val="0"/>
          <w:numId w:val="1001"/>
        </w:numPr>
        <w:pStyle w:val="Compact"/>
      </w:pPr>
      <w:r>
        <w:t xml:space="preserve">Assessing the impact of local regulatory knowledge possessed by the Business Consultant on compliance and risk mitigation.</w:t>
      </w:r>
    </w:p>
    <w:p>
      <w:pPr>
        <w:numPr>
          <w:ilvl w:val="0"/>
          <w:numId w:val="1001"/>
        </w:numPr>
        <w:pStyle w:val="Compact"/>
      </w:pPr>
      <w:r>
        <w:t xml:space="preserve">Evaluating client satisfaction and long-term strategic alignment post-engagement.</w:t>
      </w:r>
    </w:p>
    <w:p>
      <w:pPr>
        <w:pStyle w:val="FirstParagraph"/>
      </w:pPr>
      <w:r>
        <w:t xml:space="preserve">3.0 Methodology</w:t>
      </w:r>
    </w:p>
    <w:p>
      <w:pPr>
        <w:pStyle w:val="BodyText"/>
      </w:pPr>
      <w:r>
        <w:t xml:space="preserve">This study will utilize a randomized controlled trial (RCT) design, considered the gold standard in experimental research. The experiment will be conducted over a period of twelve months.</w:t>
      </w:r>
    </w:p>
    <w:bookmarkStart w:id="21" w:name="study-population"/>
    <w:p>
      <w:pPr>
        <w:pStyle w:val="Heading3"/>
      </w:pPr>
      <w:r>
        <w:t xml:space="preserve">3.1 Study Population</w:t>
      </w:r>
    </w:p>
    <w:p>
      <w:pPr>
        <w:pStyle w:val="FirstParagraph"/>
      </w:pPr>
      <w:r>
        <w:t xml:space="preserve">Participants will be selected from SMEs operating within the five boroughs of New York City. Inclusion criteria require companies to have between 10 and 200 employees, annual revenues between $1 million and $20 million, and a history of stable operations for at least three years. This ensures that the Business Consultant is working with established entities capable of implementing strategic changes.</w:t>
      </w:r>
    </w:p>
    <w:bookmarkEnd w:id="21"/>
    <w:bookmarkStart w:id="22" w:name="group-allocation"/>
    <w:p>
      <w:pPr>
        <w:pStyle w:val="Heading3"/>
      </w:pPr>
      <w:r>
        <w:t xml:space="preserve">3.2 Group Allocation</w:t>
      </w:r>
    </w:p>
    <w:p>
      <w:pPr>
        <w:pStyle w:val="FirstParagraph"/>
      </w:pPr>
      <w:r>
        <w:t xml:space="preserve">Eligible participants will be randomly assigned to one of two groups:</w:t>
      </w:r>
    </w:p>
    <w:p>
      <w:pPr>
        <w:numPr>
          <w:ilvl w:val="0"/>
          <w:numId w:val="1002"/>
        </w:numPr>
        <w:pStyle w:val="Compact"/>
      </w:pPr>
      <w:r>
        <w:rPr>
          <w:bCs/>
          <w:b/>
        </w:rPr>
        <w:t xml:space="preserve">Intervention Group:</w:t>
      </w:r>
      <w:r>
        <w:t xml:space="preserve"> </w:t>
      </w:r>
      <w:r>
        <w:t xml:space="preserve">Companies will engage a certified Business Consultant for a fixed six-month period. The consultant will be tasked with optimizing operations, refining market strategy, and improving financial structures.</w:t>
      </w:r>
    </w:p>
    <w:p>
      <w:pPr>
        <w:numPr>
          <w:ilvl w:val="0"/>
          <w:numId w:val="1002"/>
        </w:numPr>
        <w:pStyle w:val="Compact"/>
      </w:pPr>
      <w:r>
        <w:rPr>
          <w:bCs/>
          <w:b/>
        </w:rPr>
        <w:t xml:space="preserve">Control Group:</w:t>
      </w:r>
      <w:r>
        <w:t xml:space="preserve"> </w:t>
      </w:r>
      <w:r>
        <w:t xml:space="preserve">Companies will continue their operations without external consulting intervention but will be encouraged to maintain their current strategic trajectory.</w:t>
      </w:r>
    </w:p>
    <w:bookmarkEnd w:id="22"/>
    <w:bookmarkStart w:id="23" w:name="the-business-consultant-role"/>
    <w:p>
      <w:pPr>
        <w:pStyle w:val="Heading3"/>
      </w:pPr>
      <w:r>
        <w:t xml:space="preserve">3.3 The Business Consultant Role</w:t>
      </w:r>
    </w:p>
    <w:p>
      <w:pPr>
        <w:pStyle w:val="FirstParagraph"/>
      </w:pPr>
      <w:r>
        <w:t xml:space="preserve">To ensure consistency, all Business Consultants assigned to the Intervention Group must meet specific qualifications: a minimum of five years of experience, a relevant master’s degree, and prior experience working with clients in the United States New York City market. The consultants will follow a standardized framework provided by the research team to minimize variability in service delivery.</w:t>
      </w:r>
    </w:p>
    <w:bookmarkEnd w:id="23"/>
    <w:p>
      <w:pPr>
        <w:pStyle w:val="BodyText"/>
      </w:pPr>
      <w:r>
        <w:t xml:space="preserve">4.0 Data Collection and Metrics</w:t>
      </w:r>
    </w:p>
    <w:p>
      <w:pPr>
        <w:pStyle w:val="BodyText"/>
      </w:pPr>
      <w:r>
        <w:t xml:space="preserve">Data will be collected at three intervals: baseline (T0), mid-point (T6), and post-intervention (T12). The following key performance indicators (KPIs) will be tracked:</w:t>
      </w:r>
    </w:p>
    <w:p>
      <w:pPr>
        <w:numPr>
          <w:ilvl w:val="0"/>
          <w:numId w:val="1003"/>
        </w:numPr>
        <w:pStyle w:val="Compact"/>
      </w:pPr>
      <w:r>
        <w:rPr>
          <w:bCs/>
          <w:b/>
        </w:rPr>
        <w:t xml:space="preserve">Financial Performance:</w:t>
      </w:r>
      <w:r>
        <w:t xml:space="preserve"> </w:t>
      </w:r>
      <w:r>
        <w:t xml:space="preserve">Year-over-year revenue growth, profit margins, and cost reduction percentages.</w:t>
      </w:r>
    </w:p>
    <w:p>
      <w:pPr>
        <w:numPr>
          <w:ilvl w:val="0"/>
          <w:numId w:val="1003"/>
        </w:numPr>
        <w:pStyle w:val="Compact"/>
      </w:pPr>
      <w:r>
        <w:rPr>
          <w:bCs/>
          <w:b/>
        </w:rPr>
        <w:t xml:space="preserve">Operational Efficiency:</w:t>
      </w:r>
      <w:r>
        <w:t xml:space="preserve"> </w:t>
      </w:r>
      <w:r>
        <w:t xml:space="preserve">Cycle times for key processes, employee productivity metrics, and resource utilization rates.</w:t>
      </w:r>
    </w:p>
    <w:p>
      <w:pPr>
        <w:numPr>
          <w:ilvl w:val="0"/>
          <w:numId w:val="1003"/>
        </w:numPr>
        <w:pStyle w:val="Compact"/>
      </w:pPr>
      <w:r>
        <w:rPr>
          <w:bCs/>
          <w:b/>
        </w:rPr>
        <w:t xml:space="preserve">Market Position:</w:t>
      </w:r>
      <w:r>
        <w:t xml:space="preserve"> </w:t>
      </w:r>
      <w:r>
        <w:t xml:space="preserve">Customer acquisition costs, retention rates, and market share within the New York City region.</w:t>
      </w:r>
    </w:p>
    <w:p>
      <w:pPr>
        <w:numPr>
          <w:ilvl w:val="0"/>
          <w:numId w:val="1003"/>
        </w:numPr>
        <w:pStyle w:val="Compact"/>
      </w:pPr>
      <w:r>
        <w:rPr>
          <w:bCs/>
          <w:b/>
        </w:rPr>
        <w:t xml:space="preserve">Qualitative Feedback:</w:t>
      </w:r>
      <w:r>
        <w:t xml:space="preserve"> </w:t>
      </w:r>
      <w:r>
        <w:t xml:space="preserve">Surveys administered to CEOs and senior management regarding the perceived value of the Business Consultant’s insights.</w:t>
      </w:r>
    </w:p>
    <w:p>
      <w:pPr>
        <w:pStyle w:val="FirstParagraph"/>
      </w:pPr>
      <w:r>
        <w:t xml:space="preserve">5.0 Ethical Considerations and Compliance</w:t>
      </w:r>
    </w:p>
    <w:p>
      <w:pPr>
        <w:pStyle w:val="BodyText"/>
      </w:pPr>
      <w:r>
        <w:t xml:space="preserve">This experiment adheres to the ethical guidelines established by the American Psychological Association and relevant business research standards in the United States. All participating companies will provide informed consent, acknowledging the data collection requirements and the randomization process.</w:t>
      </w:r>
    </w:p>
    <w:p>
      <w:pPr>
        <w:pStyle w:val="BodyText"/>
      </w:pPr>
      <w:r>
        <w:t xml:space="preserve">Confidentiality is paramount. All financial and operational data will be anonymized and stored on secure servers compliant with New York State data privacy laws. The Business Consultant will be bound by strict non-disclosure agreements (NDAs) to protect proprietary information of the participating SMEs.</w:t>
      </w:r>
    </w:p>
    <w:p>
      <w:pPr>
        <w:pStyle w:val="BodyText"/>
      </w:pPr>
      <w:r>
        <w:t xml:space="preserve">6.0 Risk Management</w:t>
      </w:r>
    </w:p>
    <w:p>
      <w:pPr>
        <w:pStyle w:val="BodyText"/>
      </w:pPr>
      <w:r>
        <w:t xml:space="preserve">Potential risks include the disruption of normal business operations due to the consulting engagement and the possibility of negative outcomes if recommendations are poorly implemented. To mitigate these risks, the protocol includes a "stop-loss" clause allowing companies to withdraw from the experiment if they experience significant adverse effects. Additionally, the Business Consultant will be required to provide weekly progress reports to the research oversight committee.</w:t>
      </w:r>
    </w:p>
    <w:p>
      <w:pPr>
        <w:pStyle w:val="BodyText"/>
      </w:pPr>
      <w:r>
        <w:t xml:space="preserve">7.0 Expected Outcomes and Impact</w:t>
      </w:r>
    </w:p>
    <w:p>
      <w:pPr>
        <w:pStyle w:val="BodyText"/>
      </w:pPr>
      <w:r>
        <w:t xml:space="preserve">It is hypothesized that the Intervention Group will demonstrate statistically significant improvements in operational efficiency and revenue growth compared to the Control Group. Furthermore, the study aims to provide a detailed analysis of how the unique pressures of the New York City business environment influence the effectiveness of consulting interventions.</w:t>
      </w:r>
    </w:p>
    <w:p>
      <w:pPr>
        <w:pStyle w:val="BodyText"/>
      </w:pPr>
      <w:r>
        <w:t xml:space="preserve">The findings will contribute to the broader understanding of the Business Consultant’s role in the United States economy, offering evidence-based recommendations for SMEs considering external advisory services.</w:t>
      </w:r>
    </w:p>
    <w:p>
      <w:pPr>
        <w:pStyle w:val="BodyText"/>
      </w:pPr>
      <w:r>
        <w:rPr>
          <w:bCs/>
          <w:b/>
        </w:rPr>
        <w:t xml:space="preserve">Document Control:</w:t>
      </w:r>
      <w:r>
        <w:t xml:space="preserve"> </w:t>
      </w:r>
      <w:r>
        <w:t xml:space="preserve">This Experiment Protocol is the property of the Research Institute for Business Dynamics. Unauthorized reproduction or distribution is prohibited.</w:t>
      </w:r>
    </w:p>
    <w:p>
      <w:pPr>
        <w:pStyle w:val="BodyText"/>
      </w:pPr>
      <w:r>
        <w:rPr>
          <w:bCs/>
          <w:b/>
        </w:rPr>
        <w:t xml:space="preserve">Contact:</w:t>
      </w:r>
      <w:r>
        <w:t xml:space="preserve"> </w:t>
      </w:r>
      <w:r>
        <w:t xml:space="preserve">research@businessdynamics.org | New York, NY,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NYC</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