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c8c6ba7cad1f5ad611f8b2948255f8040394c43"/>
    <w:p>
      <w:pPr>
        <w:pStyle w:val="Heading1"/>
      </w:pPr>
      <w:r>
        <w:t xml:space="preserve">Experiment Protocol: Business Consultant Efficacy in Ho Chi Minh City</w:t>
      </w:r>
    </w:p>
    <w:p>
      <w:pPr>
        <w:pStyle w:val="FirstParagraph"/>
      </w:pPr>
      <w:r>
        <w:rPr>
          <w:bCs/>
          <w:b/>
        </w:rPr>
        <w:t xml:space="preserve">Document ID:</w:t>
      </w:r>
      <w:r>
        <w:t xml:space="preserve"> </w:t>
      </w:r>
      <w:r>
        <w:t xml:space="preserve">EXP-HCMC-BC-2024-001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Ho Chi Minh City, Vietnam</w:t>
      </w:r>
    </w:p>
    <w:bookmarkEnd w:id="20"/>
    <w:bookmarkStart w:id="21" w:name="introduction-and-background"/>
    <w:p>
      <w:pPr>
        <w:pStyle w:val="Heading2"/>
      </w:pPr>
      <w:r>
        <w:t xml:space="preserve">1. Introduction and Background</w:t>
      </w:r>
    </w:p>
    <w:p>
      <w:pPr>
        <w:pStyle w:val="FirstParagraph"/>
      </w:pPr>
      <w:r>
        <w:t xml:space="preserve">Ho Chi Minh City (HCMC) stands as the economic powerhouse of Vietnam, characterized by a rapidly evolving startup ecosystem, a surge in foreign direct investment, and a complex regulatory environment. As the market matures, the demand for professional advisory services has increased. However, the tangible return on investment (ROI) regarding the engagement of a Business Consultant remains a subject of debate among local stakeholders.</w:t>
      </w:r>
    </w:p>
    <w:p>
      <w:pPr>
        <w:pStyle w:val="BodyText"/>
      </w:pPr>
      <w:r>
        <w:t xml:space="preserve">This Experiment Protocol outlines a rigorous methodology to evaluate the specific impact of a Business Consultant on Small and Medium-sized Enterprises (SMEs) operating within Ho Chi Minh City. The study aims to move beyond anecdotal evidence to provide data-driven insights into how external expertise influences operational efficiency, revenue growth, and regulatory compliance in this specific geographic and cultural context.</w:t>
      </w:r>
    </w:p>
    <w:bookmarkEnd w:id="21"/>
    <w:bookmarkStart w:id="22" w:name="objectives"/>
    <w:p>
      <w:pPr>
        <w:pStyle w:val="Heading2"/>
      </w:pPr>
      <w:r>
        <w:t xml:space="preserve">2. Objectives</w:t>
      </w:r>
    </w:p>
    <w:p>
      <w:pPr>
        <w:pStyle w:val="FirstParagraph"/>
      </w:pPr>
      <w:r>
        <w:t xml:space="preserve">The primary objective of this experiment is to quantify the value added by a Business Consultant in the Ho Chi Minh City market. Specific goals include:</w:t>
      </w:r>
    </w:p>
    <w:p>
      <w:pPr>
        <w:numPr>
          <w:ilvl w:val="0"/>
          <w:numId w:val="1001"/>
        </w:numPr>
        <w:pStyle w:val="Compact"/>
      </w:pPr>
      <w:r>
        <w:t xml:space="preserve">To measure the difference in revenue growth between SMEs utilizing a Business Consultant versus those operating without one over a six-month period.</w:t>
      </w:r>
    </w:p>
    <w:p>
      <w:pPr>
        <w:numPr>
          <w:ilvl w:val="0"/>
          <w:numId w:val="1001"/>
        </w:numPr>
        <w:pStyle w:val="Compact"/>
      </w:pPr>
      <w:r>
        <w:t xml:space="preserve">To assess the improvement in operational workflows and cost reduction strategies implemented by consultants.</w:t>
      </w:r>
    </w:p>
    <w:p>
      <w:pPr>
        <w:numPr>
          <w:ilvl w:val="0"/>
          <w:numId w:val="1001"/>
        </w:numPr>
        <w:pStyle w:val="Compact"/>
      </w:pPr>
      <w:r>
        <w:t xml:space="preserve">To evaluate the consultant's effectiveness in navigating local Vietnamese regulations and cultural nuances specific to HCMC.</w:t>
      </w:r>
    </w:p>
    <w:p>
      <w:pPr>
        <w:numPr>
          <w:ilvl w:val="0"/>
          <w:numId w:val="1001"/>
        </w:numPr>
        <w:pStyle w:val="Compact"/>
      </w:pPr>
      <w:r>
        <w:t xml:space="preserve">To determine the correlation between consultant engagement and employee retention rates.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control group and a treatment group. The experiment will take place over a duration of six months, covering two distinct fiscal quarters to account for seasonal variations in the Ho Chi Minh City economy.</w:t>
      </w:r>
    </w:p>
    <w:bookmarkEnd w:id="23"/>
    <w:bookmarkStart w:id="24" w:name="participants"/>
    <w:p>
      <w:pPr>
        <w:pStyle w:val="Heading3"/>
      </w:pPr>
      <w:r>
        <w:t xml:space="preserve">3.2 Participants</w:t>
      </w:r>
    </w:p>
    <w:p>
      <w:pPr>
        <w:pStyle w:val="FirstParagraph"/>
      </w:pPr>
      <w:r>
        <w:t xml:space="preserve">The sample size will consist of 60 SMEs based in District 1, District 7, and Binh Thanh District of Ho Chi Minh City. These districts were selected due to their high concentration of commercial activity. Participants will be divided as follows:</w:t>
      </w:r>
    </w:p>
    <w:p>
      <w:pPr>
        <w:numPr>
          <w:ilvl w:val="0"/>
          <w:numId w:val="1002"/>
        </w:numPr>
        <w:pStyle w:val="Compact"/>
      </w:pPr>
      <w:r>
        <w:rPr>
          <w:bCs/>
          <w:b/>
        </w:rPr>
        <w:t xml:space="preserve">Treatment Group (n=30):</w:t>
      </w:r>
      <w:r>
        <w:t xml:space="preserve"> </w:t>
      </w:r>
      <w:r>
        <w:t xml:space="preserve">Companies that will engage a certified Business Consultant for the duration of the experiment.</w:t>
      </w:r>
    </w:p>
    <w:p>
      <w:pPr>
        <w:numPr>
          <w:ilvl w:val="0"/>
          <w:numId w:val="1002"/>
        </w:numPr>
        <w:pStyle w:val="Compact"/>
      </w:pPr>
      <w:r>
        <w:rPr>
          <w:bCs/>
          <w:b/>
        </w:rPr>
        <w:t xml:space="preserve">Control Group (n=30):</w:t>
      </w:r>
      <w:r>
        <w:t xml:space="preserve"> </w:t>
      </w:r>
      <w:r>
        <w:t xml:space="preserve">Companies that will continue operations without external consulting support.</w:t>
      </w:r>
    </w:p>
    <w:p>
      <w:pPr>
        <w:pStyle w:val="FirstParagraph"/>
      </w:pPr>
      <w:r>
        <w:t xml:space="preserve">All participants must have been in operation for at least two years to ensure baseline stability.</w:t>
      </w:r>
    </w:p>
    <w:bookmarkEnd w:id="24"/>
    <w:bookmarkStart w:id="25" w:name="variables"/>
    <w:p>
      <w:pPr>
        <w:pStyle w:val="Heading3"/>
      </w:pPr>
      <w:r>
        <w:t xml:space="preserve">3.3 Variables</w:t>
      </w:r>
    </w:p>
    <w:p>
      <w:pPr>
        <w:pStyle w:val="FirstParagraph"/>
      </w:pPr>
      <w:r>
        <w:rPr>
          <w:bCs/>
          <w:b/>
        </w:rPr>
        <w:t xml:space="preserve">Independent Variable:</w:t>
      </w:r>
      <w:r>
        <w:t xml:space="preserve"> </w:t>
      </w:r>
      <w:r>
        <w:t xml:space="preserve">The engagement of a Business Consultant.</w:t>
      </w:r>
    </w:p>
    <w:p>
      <w:pPr>
        <w:pStyle w:val="BodyText"/>
      </w:pPr>
      <w:r>
        <w:rPr>
          <w:bCs/>
          <w:b/>
        </w:rPr>
        <w:t xml:space="preserve">Dependent Variables:</w:t>
      </w:r>
    </w:p>
    <w:p>
      <w:pPr>
        <w:numPr>
          <w:ilvl w:val="0"/>
          <w:numId w:val="1003"/>
        </w:numPr>
        <w:pStyle w:val="Compact"/>
      </w:pPr>
      <w:r>
        <w:t xml:space="preserve">Net Profit Margin.</w:t>
      </w:r>
    </w:p>
    <w:p>
      <w:pPr>
        <w:numPr>
          <w:ilvl w:val="0"/>
          <w:numId w:val="1003"/>
        </w:numPr>
        <w:pStyle w:val="Compact"/>
      </w:pPr>
      <w:r>
        <w:t xml:space="preserve">Operational Cost Reduction Percentage.</w:t>
      </w:r>
    </w:p>
    <w:p>
      <w:pPr>
        <w:numPr>
          <w:ilvl w:val="0"/>
          <w:numId w:val="1003"/>
        </w:numPr>
        <w:pStyle w:val="Compact"/>
      </w:pPr>
      <w:r>
        <w:t xml:space="preserve">Time-to-Market for new products or services.</w:t>
      </w:r>
    </w:p>
    <w:p>
      <w:pPr>
        <w:numPr>
          <w:ilvl w:val="0"/>
          <w:numId w:val="1003"/>
        </w:numPr>
        <w:pStyle w:val="Compact"/>
      </w:pPr>
      <w:r>
        <w:t xml:space="preserve">Regulatory Compliance Score.</w:t>
      </w:r>
    </w:p>
    <w:bookmarkEnd w:id="25"/>
    <w:bookmarkEnd w:id="26"/>
    <w:bookmarkStart w:id="30" w:name="procedure"/>
    <w:p>
      <w:pPr>
        <w:pStyle w:val="Heading2"/>
      </w:pPr>
      <w:r>
        <w:t xml:space="preserve">4. Procedure</w:t>
      </w:r>
    </w:p>
    <w:bookmarkStart w:id="27" w:name="phase-1-baseline-assessment-weeks-1-4"/>
    <w:p>
      <w:pPr>
        <w:pStyle w:val="Heading3"/>
      </w:pPr>
      <w:r>
        <w:t xml:space="preserve">4.1 Phase 1: Baseline Assessment (Weeks 1-4)</w:t>
      </w:r>
    </w:p>
    <w:p>
      <w:pPr>
        <w:pStyle w:val="FirstParagraph"/>
      </w:pPr>
      <w:r>
        <w:t xml:space="preserve">Researchers will conduct an initial audit of all 60 participating companies. This involves collecting financial statements, reviewing organizational charts, and interviewing key management personnel. This phase establishes the baseline metrics for the Ho Chi Minh City market context.</w:t>
      </w:r>
    </w:p>
    <w:bookmarkEnd w:id="27"/>
    <w:bookmarkStart w:id="28" w:name="phase-2-intervention-weeks-5-24"/>
    <w:p>
      <w:pPr>
        <w:pStyle w:val="Heading3"/>
      </w:pPr>
      <w:r>
        <w:t xml:space="preserve">4.2 Phase 2: Intervention (Weeks 5-24)</w:t>
      </w:r>
    </w:p>
    <w:p>
      <w:pPr>
        <w:pStyle w:val="FirstParagraph"/>
      </w:pPr>
      <w:r>
        <w:t xml:space="preserve">During this phase, the Treatment Group will be paired with a Business Consultant. The consultant is required to focus on three core areas relevant to the local market:</w:t>
      </w:r>
    </w:p>
    <w:p>
      <w:pPr>
        <w:numPr>
          <w:ilvl w:val="0"/>
          <w:numId w:val="1004"/>
        </w:numPr>
        <w:pStyle w:val="Compact"/>
      </w:pPr>
      <w:r>
        <w:rPr>
          <w:bCs/>
          <w:b/>
        </w:rPr>
        <w:t xml:space="preserve">Strategic Planning:</w:t>
      </w:r>
      <w:r>
        <w:t xml:space="preserve"> </w:t>
      </w:r>
      <w:r>
        <w:t xml:space="preserve">Adapting global best practices to the local Vietnamese business culture.</w:t>
      </w:r>
    </w:p>
    <w:p>
      <w:pPr>
        <w:numPr>
          <w:ilvl w:val="0"/>
          <w:numId w:val="1004"/>
        </w:numPr>
        <w:pStyle w:val="Compact"/>
      </w:pPr>
      <w:r>
        <w:rPr>
          <w:bCs/>
          <w:b/>
        </w:rPr>
        <w:t xml:space="preserve">Process Optimization:</w:t>
      </w:r>
      <w:r>
        <w:t xml:space="preserve"> </w:t>
      </w:r>
      <w:r>
        <w:t xml:space="preserve">Streamlining supply chains and internal communication.</w:t>
      </w:r>
    </w:p>
    <w:p>
      <w:pPr>
        <w:numPr>
          <w:ilvl w:val="0"/>
          <w:numId w:val="1004"/>
        </w:numPr>
        <w:pStyle w:val="Compact"/>
      </w:pPr>
      <w:r>
        <w:rPr>
          <w:bCs/>
          <w:b/>
        </w:rPr>
        <w:t xml:space="preserve">Market Expansion:</w:t>
      </w:r>
      <w:r>
        <w:t xml:space="preserve"> </w:t>
      </w:r>
      <w:r>
        <w:t xml:space="preserve">Identifying new opportunities within the Southern Key Economic Region.</w:t>
      </w:r>
    </w:p>
    <w:p>
      <w:pPr>
        <w:pStyle w:val="FirstParagraph"/>
      </w:pPr>
      <w:r>
        <w:t xml:space="preserve">The Control Group will receive no intervention but will be monitored monthly to ensure no external variables skew the data.</w:t>
      </w:r>
    </w:p>
    <w:bookmarkEnd w:id="28"/>
    <w:bookmarkStart w:id="29" w:name="X145be0077b7e499cf41cc2d340d5a4f94d6cf82"/>
    <w:p>
      <w:pPr>
        <w:pStyle w:val="Heading3"/>
      </w:pPr>
      <w:r>
        <w:t xml:space="preserve">4.3 Phase 3: Data Collection and Analysis (Weeks 25-26)</w:t>
      </w:r>
    </w:p>
    <w:p>
      <w:pPr>
        <w:pStyle w:val="FirstParagraph"/>
      </w:pPr>
      <w:r>
        <w:t xml:space="preserve">Post-intervention data will be collected using the same metrics as the baseline assessment. Statistical analysis will be performed to compare the performance of the two groups.</w:t>
      </w:r>
    </w:p>
    <w:bookmarkEnd w:id="29"/>
    <w:bookmarkEnd w:id="30"/>
    <w:bookmarkStart w:id="31" w:name="ethical-considerations"/>
    <w:p>
      <w:pPr>
        <w:pStyle w:val="Heading2"/>
      </w:pPr>
      <w:r>
        <w:t xml:space="preserve">5. Ethical Considerations</w:t>
      </w:r>
    </w:p>
    <w:p>
      <w:pPr>
        <w:pStyle w:val="FirstParagraph"/>
      </w:pPr>
      <w:r>
        <w:t xml:space="preserve">Confidentiality is paramount. All financial data and proprietary strategies of the participating companies in Ho Chi Minh City will be anonymized. Informed consent will be obtained from all company owners prior to the commencement of the experiment. The Business Consultant must adhere to a strict code of conduct, avoiding conflicts of interest with any participating entities.</w:t>
      </w:r>
    </w:p>
    <w:bookmarkEnd w:id="31"/>
    <w:bookmarkStart w:id="32" w:name="expected-outcomes"/>
    <w:p>
      <w:pPr>
        <w:pStyle w:val="Heading2"/>
      </w:pPr>
      <w:r>
        <w:t xml:space="preserve">6. Expected Outcomes</w:t>
      </w:r>
    </w:p>
    <w:p>
      <w:pPr>
        <w:pStyle w:val="FirstParagraph"/>
      </w:pPr>
      <w:r>
        <w:t xml:space="preserve">It is hypothesized that the Treatment Group will demonstrate a statistically significant improvement in operational efficiency and a higher net profit margin compared to the Control Group. Furthermore, the study expects to reveal that the Business Consultant plays a critical role in mitigating risks associated with the dynamic regulatory landscape of Vietnam.</w:t>
      </w:r>
    </w:p>
    <w:bookmarkEnd w:id="32"/>
    <w:bookmarkStart w:id="33" w:name="conclusion"/>
    <w:p>
      <w:pPr>
        <w:pStyle w:val="Heading2"/>
      </w:pPr>
      <w:r>
        <w:t xml:space="preserve">7. Conclusion</w:t>
      </w:r>
    </w:p>
    <w:p>
      <w:pPr>
        <w:pStyle w:val="FirstParagraph"/>
      </w:pPr>
      <w:r>
        <w:t xml:space="preserve">This Experiment Protocol provides a structured approach to validating the role of the Business Consultant in the modern economy of Ho Chi Minh City. By adhering to this protocol, stakeholders can gain a clearer understanding of the tangible benefits of professional consulting services, fostering a more informed and efficient business environment in Vietnam.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Ho Chi Minh City</dc:title>
  <dc:creator/>
  <dc:language>en</dc:language>
  <cp:keywords/>
  <dcterms:created xsi:type="dcterms:W3CDTF">2026-10-10T09:23:23Z</dcterms:created>
  <dcterms:modified xsi:type="dcterms:W3CDTF">2026-10-10T09:23:23Z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