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Carpentry</w:t>
      </w:r>
      <w:r>
        <w:t xml:space="preserve"> </w:t>
      </w:r>
      <w:r>
        <w:t xml:space="preserve">Techniques</w:t>
      </w:r>
      <w:r>
        <w:t xml:space="preserve"> </w:t>
      </w:r>
      <w:r>
        <w:t xml:space="preserve">in</w:t>
      </w:r>
      <w:r>
        <w:t xml:space="preserve"> </w:t>
      </w:r>
      <w:r>
        <w:t xml:space="preserve">China</w:t>
      </w:r>
      <w:r>
        <w:t xml:space="preserve"> </w:t>
      </w:r>
      <w:r>
        <w:t xml:space="preserve">Shanghai</w:t>
      </w:r>
    </w:p>
    <w:bookmarkStart w:id="20" w:name="Xa5b6e388480b14c42cbeaa58acf46fa7d27346d"/>
    <w:p>
      <w:pPr>
        <w:pStyle w:val="Heading1"/>
      </w:pPr>
      <w:r>
        <w:t xml:space="preserve">Experiment Protocol: Advanced Carpentry Techniques in China Shanghai</w:t>
      </w:r>
    </w:p>
    <w:p>
      <w:pPr>
        <w:pStyle w:val="FirstParagraph"/>
      </w:pPr>
      <w:r>
        <w:rPr>
          <w:bCs/>
          <w:b/>
        </w:rPr>
        <w:t xml:space="preserve">Document ID:</w:t>
      </w:r>
      <w:r>
        <w:t xml:space="preserve"> </w:t>
      </w:r>
      <w:r>
        <w:t xml:space="preserve">EXP-CARP-SH-2023-001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China Shanghai</w:t>
      </w:r>
    </w:p>
    <w:bookmarkEnd w:id="20"/>
    <w:p>
      <w:pPr>
        <w:pStyle w:val="BodyText"/>
      </w:pPr>
      <w:r>
        <w:t xml:space="preserve">1. Introduction</w:t>
      </w:r>
    </w:p>
    <w:p>
      <w:pPr>
        <w:pStyle w:val="BodyText"/>
      </w:pPr>
      <w:r>
        <w:t xml:space="preserve">This Experiment Protocol outlines the procedures for evaluating advanced carpentry techniques in the context of modern construction practices in China Shanghai. The study aims to assess the efficiency, sustainability, and cultural integration of these techniques within the unique urban environment of Shanghai. The protocol is designed to ensure that all experiments are conducted systematically, ethically, and in compliance with local regulations.</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evaluate the structural integrity and durability of advanced carpentry methods in high-rise buildings.</w:t>
      </w:r>
    </w:p>
    <w:p>
      <w:pPr>
        <w:numPr>
          <w:ilvl w:val="0"/>
          <w:numId w:val="1001"/>
        </w:numPr>
        <w:pStyle w:val="Compact"/>
      </w:pPr>
      <w:r>
        <w:t xml:space="preserve">To assess the environmental impact of using sustainable wood sources and eco-friendly adhesives.</w:t>
      </w:r>
    </w:p>
    <w:p>
      <w:pPr>
        <w:numPr>
          <w:ilvl w:val="0"/>
          <w:numId w:val="1001"/>
        </w:numPr>
        <w:pStyle w:val="Compact"/>
      </w:pPr>
      <w:r>
        <w:t xml:space="preserve">To explore the integration of traditional Chinese carpentry techniques with modern construction practices.</w:t>
      </w:r>
    </w:p>
    <w:p>
      <w:pPr>
        <w:numPr>
          <w:ilvl w:val="0"/>
          <w:numId w:val="1001"/>
        </w:numPr>
        <w:pStyle w:val="Compact"/>
      </w:pPr>
      <w:r>
        <w:t xml:space="preserve">To determine the cost-effectiveness and time efficiency of these techniques compared to conventional methods.</w:t>
      </w:r>
    </w:p>
    <w:p>
      <w:pPr>
        <w:pStyle w:val="FirstParagraph"/>
      </w:pPr>
      <w:r>
        <w:t xml:space="preserve">3. Scope</w:t>
      </w:r>
    </w:p>
    <w:p>
      <w:pPr>
        <w:pStyle w:val="BodyText"/>
      </w:pPr>
      <w:r>
        <w:t xml:space="preserve">This experiment will focus on carpentry projects within residential and commercial buildings in China Shanghai. The scope includes:</w:t>
      </w:r>
    </w:p>
    <w:p>
      <w:pPr>
        <w:numPr>
          <w:ilvl w:val="0"/>
          <w:numId w:val="1002"/>
        </w:numPr>
        <w:pStyle w:val="Compact"/>
      </w:pPr>
      <w:r>
        <w:t xml:space="preserve">Structural components such as beams, columns, and load-bearing walls.</w:t>
      </w:r>
    </w:p>
    <w:p>
      <w:pPr>
        <w:numPr>
          <w:ilvl w:val="0"/>
          <w:numId w:val="1002"/>
        </w:numPr>
        <w:pStyle w:val="Compact"/>
      </w:pPr>
      <w:r>
        <w:t xml:space="preserve">Interior finishes including flooring, cabinetry, and decorative elements.</w:t>
      </w:r>
    </w:p>
    <w:p>
      <w:pPr>
        <w:numPr>
          <w:ilvl w:val="0"/>
          <w:numId w:val="1002"/>
        </w:numPr>
        <w:pStyle w:val="Compact"/>
      </w:pPr>
      <w:r>
        <w:t xml:space="preserve">Use of both locally sourced and imported wood materials.</w:t>
      </w:r>
    </w:p>
    <w:p>
      <w:pPr>
        <w:pStyle w:val="FirstParagraph"/>
      </w:pPr>
      <w:r>
        <w:t xml:space="preserve">4. Methodology</w:t>
      </w:r>
    </w:p>
    <w:p>
      <w:pPr>
        <w:pStyle w:val="BodyText"/>
      </w:pPr>
      <w:r>
        <w:t xml:space="preserve">The experiment will be conducted in three phases:</w:t>
      </w:r>
    </w:p>
    <w:p>
      <w:pPr>
        <w:numPr>
          <w:ilvl w:val="0"/>
          <w:numId w:val="1003"/>
        </w:numPr>
        <w:pStyle w:val="Compact"/>
      </w:pPr>
      <w:r>
        <w:rPr>
          <w:bCs/>
          <w:b/>
        </w:rPr>
        <w:t xml:space="preserve">Phase 1: Material Selection and Preparation</w:t>
      </w:r>
    </w:p>
    <w:p>
      <w:pPr>
        <w:numPr>
          <w:ilvl w:val="1"/>
          <w:numId w:val="1004"/>
        </w:numPr>
        <w:pStyle w:val="Compact"/>
      </w:pPr>
      <w:r>
        <w:t xml:space="preserve">Select wood species based on sustainability certifications (e.g., FSC).</w:t>
      </w:r>
    </w:p>
    <w:p>
      <w:pPr>
        <w:numPr>
          <w:ilvl w:val="1"/>
          <w:numId w:val="1004"/>
        </w:numPr>
        <w:pStyle w:val="Compact"/>
      </w:pPr>
      <w:r>
        <w:t xml:space="preserve">Prepare samples for testing, including cutting, drying, and treating.</w:t>
      </w:r>
    </w:p>
    <w:p>
      <w:pPr>
        <w:numPr>
          <w:ilvl w:val="0"/>
          <w:numId w:val="1003"/>
        </w:numPr>
        <w:pStyle w:val="Compact"/>
      </w:pPr>
      <w:r>
        <w:rPr>
          <w:bCs/>
          <w:b/>
        </w:rPr>
        <w:t xml:space="preserve">Phase 2: Construction and Assembly</w:t>
      </w:r>
    </w:p>
    <w:p>
      <w:pPr>
        <w:numPr>
          <w:ilvl w:val="1"/>
          <w:numId w:val="1005"/>
        </w:numPr>
        <w:pStyle w:val="Compact"/>
      </w:pPr>
      <w:r>
        <w:t xml:space="preserve">Implement advanced carpentry techniques in selected construction sites.</w:t>
      </w:r>
    </w:p>
    <w:p>
      <w:pPr>
        <w:numPr>
          <w:ilvl w:val="1"/>
          <w:numId w:val="1005"/>
        </w:numPr>
        <w:pStyle w:val="Compact"/>
      </w:pPr>
      <w:r>
        <w:t xml:space="preserve">Document the assembly process, including time taken and labor requirements.</w:t>
      </w:r>
    </w:p>
    <w:p>
      <w:pPr>
        <w:numPr>
          <w:ilvl w:val="0"/>
          <w:numId w:val="1003"/>
        </w:numPr>
        <w:pStyle w:val="Compact"/>
      </w:pPr>
      <w:r>
        <w:rPr>
          <w:bCs/>
          <w:b/>
        </w:rPr>
        <w:t xml:space="preserve">Phase 3: Testing and Evaluation</w:t>
      </w:r>
    </w:p>
    <w:p>
      <w:pPr>
        <w:numPr>
          <w:ilvl w:val="1"/>
          <w:numId w:val="1006"/>
        </w:numPr>
        <w:pStyle w:val="Compact"/>
      </w:pPr>
      <w:r>
        <w:t xml:space="preserve">Conduct structural tests to assess load-bearing capacity and durability.</w:t>
      </w:r>
    </w:p>
    <w:p>
      <w:pPr>
        <w:numPr>
          <w:ilvl w:val="1"/>
          <w:numId w:val="1006"/>
        </w:numPr>
        <w:pStyle w:val="Compact"/>
      </w:pPr>
      <w:r>
        <w:t xml:space="preserve">Perform environmental impact assessments, including carbon footprint analysis.</w:t>
      </w:r>
    </w:p>
    <w:p>
      <w:pPr>
        <w:numPr>
          <w:ilvl w:val="1"/>
          <w:numId w:val="1006"/>
        </w:numPr>
        <w:pStyle w:val="Compact"/>
      </w:pPr>
      <w:r>
        <w:t xml:space="preserve">Gather feedback from stakeholders, including architects, builders, and residents.</w:t>
      </w:r>
    </w:p>
    <w:p>
      <w:pPr>
        <w:pStyle w:val="FirstParagraph"/>
      </w:pPr>
      <w:r>
        <w:t xml:space="preserve">5.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Wood Samples</w:t>
            </w:r>
          </w:p>
        </w:tc>
        <w:tc>
          <w:tcPr/>
          <w:p>
            <w:pPr>
              <w:pStyle w:val="Compact"/>
              <w:jc w:val="left"/>
            </w:pPr>
            <w:r>
              <w:t xml:space="preserve">FSC-certified, various species</w:t>
            </w:r>
          </w:p>
        </w:tc>
        <w:tc>
          <w:tcPr/>
          <w:p>
            <w:pPr>
              <w:pStyle w:val="Compact"/>
              <w:jc w:val="left"/>
            </w:pPr>
            <w:r>
              <w:t xml:space="preserve">500 units</w:t>
            </w:r>
          </w:p>
        </w:tc>
      </w:tr>
      <w:tr>
        <w:tc>
          <w:tcPr/>
          <w:p>
            <w:pPr>
              <w:pStyle w:val="Compact"/>
              <w:jc w:val="left"/>
            </w:pPr>
            <w:r>
              <w:t xml:space="preserve">Eco-friendly Adhesives</w:t>
            </w:r>
          </w:p>
        </w:tc>
        <w:tc>
          <w:tcPr/>
          <w:p>
            <w:pPr>
              <w:pStyle w:val="Compact"/>
              <w:jc w:val="left"/>
            </w:pPr>
            <w:r>
              <w:t xml:space="preserve">Low VOC, formaldehyde-free</w:t>
            </w:r>
          </w:p>
        </w:tc>
        <w:tc>
          <w:tcPr/>
          <w:p>
            <w:pPr>
              <w:pStyle w:val="Compact"/>
              <w:jc w:val="left"/>
            </w:pPr>
            <w:r>
              <w:t xml:space="preserve">100 liters</w:t>
            </w:r>
          </w:p>
        </w:tc>
      </w:tr>
      <w:tr>
        <w:tc>
          <w:tcPr/>
          <w:p>
            <w:pPr>
              <w:pStyle w:val="Compact"/>
              <w:jc w:val="left"/>
            </w:pPr>
            <w:r>
              <w:t xml:space="preserve">Power Tools</w:t>
            </w:r>
          </w:p>
        </w:tc>
        <w:tc>
          <w:tcPr/>
          <w:p>
            <w:pPr>
              <w:pStyle w:val="Compact"/>
              <w:jc w:val="left"/>
            </w:pPr>
            <w:r>
              <w:t xml:space="preserve">Saws, drills, sanders</w:t>
            </w:r>
          </w:p>
        </w:tc>
        <w:tc>
          <w:tcPr/>
          <w:p>
            <w:pPr>
              <w:pStyle w:val="Compact"/>
              <w:jc w:val="left"/>
            </w:pPr>
            <w:r>
              <w:t xml:space="preserve">20 sets</w:t>
            </w:r>
          </w:p>
        </w:tc>
      </w:tr>
      <w:tr>
        <w:tc>
          <w:tcPr/>
          <w:p>
            <w:pPr>
              <w:pStyle w:val="Compact"/>
              <w:jc w:val="left"/>
            </w:pPr>
            <w:r>
              <w:t xml:space="preserve">Testing Equipment</w:t>
            </w:r>
          </w:p>
        </w:tc>
        <w:tc>
          <w:tcPr/>
          <w:p>
            <w:pPr>
              <w:pStyle w:val="Compact"/>
              <w:jc w:val="left"/>
            </w:pPr>
            <w:r>
              <w:t xml:space="preserve">Load testers, moisture meters</w:t>
            </w:r>
          </w:p>
        </w:tc>
        <w:tc>
          <w:tcPr/>
          <w:p>
            <w:pPr>
              <w:pStyle w:val="Compact"/>
              <w:jc w:val="left"/>
            </w:pPr>
            <w:r>
              <w:t xml:space="preserve">10 sets</w:t>
            </w:r>
          </w:p>
        </w:tc>
      </w:tr>
    </w:tbl>
    <w:p>
      <w:pPr>
        <w:pStyle w:val="BodyText"/>
      </w:pPr>
      <w:r>
        <w:t xml:space="preserve">6. Safety and Ethical Considerations</w:t>
      </w:r>
    </w:p>
    <w:p>
      <w:pPr>
        <w:pStyle w:val="BodyText"/>
      </w:pPr>
      <w:r>
        <w:t xml:space="preserve">All experiments will adhere to the following safety and ethical guidelines:</w:t>
      </w:r>
    </w:p>
    <w:p>
      <w:pPr>
        <w:numPr>
          <w:ilvl w:val="0"/>
          <w:numId w:val="1007"/>
        </w:numPr>
        <w:pStyle w:val="Compact"/>
      </w:pPr>
      <w:r>
        <w:t xml:space="preserve">Compliance with local building codes and safety regulations in China Shanghai.</w:t>
      </w:r>
    </w:p>
    <w:p>
      <w:pPr>
        <w:numPr>
          <w:ilvl w:val="0"/>
          <w:numId w:val="1007"/>
        </w:numPr>
        <w:pStyle w:val="Compact"/>
      </w:pPr>
      <w:r>
        <w:t xml:space="preserve">Use of personal protective equipment (PPE) by all personnel.</w:t>
      </w:r>
    </w:p>
    <w:p>
      <w:pPr>
        <w:numPr>
          <w:ilvl w:val="0"/>
          <w:numId w:val="1007"/>
        </w:numPr>
        <w:pStyle w:val="Compact"/>
      </w:pPr>
      <w:r>
        <w:t xml:space="preserve">Minimization of waste and proper disposal of materials.</w:t>
      </w:r>
    </w:p>
    <w:p>
      <w:pPr>
        <w:numPr>
          <w:ilvl w:val="0"/>
          <w:numId w:val="1007"/>
        </w:numPr>
        <w:pStyle w:val="Compact"/>
      </w:pPr>
      <w:r>
        <w:t xml:space="preserve">Respect for cultural heritage and traditional practices.</w:t>
      </w:r>
    </w:p>
    <w:p>
      <w:pPr>
        <w:pStyle w:val="FirstParagraph"/>
      </w:pPr>
      <w:r>
        <w:t xml:space="preserve">7. Data Collection and Analysis</w:t>
      </w:r>
    </w:p>
    <w:p>
      <w:pPr>
        <w:pStyle w:val="BodyText"/>
      </w:pPr>
      <w:r>
        <w:t xml:space="preserve">Data will be collected through:</w:t>
      </w:r>
    </w:p>
    <w:p>
      <w:pPr>
        <w:numPr>
          <w:ilvl w:val="0"/>
          <w:numId w:val="1008"/>
        </w:numPr>
        <w:pStyle w:val="Compact"/>
      </w:pPr>
      <w:r>
        <w:t xml:space="preserve">Direct measurements and observations during construction.</w:t>
      </w:r>
    </w:p>
    <w:p>
      <w:pPr>
        <w:numPr>
          <w:ilvl w:val="0"/>
          <w:numId w:val="1008"/>
        </w:numPr>
        <w:pStyle w:val="Compact"/>
      </w:pPr>
      <w:r>
        <w:t xml:space="preserve">Structured interviews and surveys with stakeholders.</w:t>
      </w:r>
    </w:p>
    <w:p>
      <w:pPr>
        <w:numPr>
          <w:ilvl w:val="0"/>
          <w:numId w:val="1008"/>
        </w:numPr>
        <w:pStyle w:val="Compact"/>
      </w:pPr>
      <w:r>
        <w:t xml:space="preserve">Environmental monitoring tools for assessing impact.</w:t>
      </w:r>
    </w:p>
    <w:p>
      <w:pPr>
        <w:pStyle w:val="FirstParagraph"/>
      </w:pPr>
      <w:r>
        <w:t xml:space="preserve">Analysis will involve statistical methods to compare the performance of advanced carpentry techniques with conventional methods. Results will be presented in a comprehensive report, including recommendations for future practices.</w:t>
      </w:r>
    </w:p>
    <w:p>
      <w:pPr>
        <w:pStyle w:val="BodyText"/>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Phase 1</w:t>
            </w:r>
          </w:p>
        </w:tc>
        <w:tc>
          <w:tcPr/>
          <w:p>
            <w:pPr>
              <w:pStyle w:val="Compact"/>
              <w:jc w:val="left"/>
            </w:pPr>
            <w:r>
              <w:t xml:space="preserve">1 month</w:t>
            </w:r>
          </w:p>
        </w:tc>
        <w:tc>
          <w:tcPr/>
          <w:p>
            <w:pPr>
              <w:pStyle w:val="Compact"/>
              <w:jc w:val="left"/>
            </w:pPr>
            <w:r>
              <w:t xml:space="preserve">Material selection and preparation</w:t>
            </w:r>
          </w:p>
        </w:tc>
      </w:tr>
      <w:tr>
        <w:tc>
          <w:tcPr/>
          <w:p>
            <w:pPr>
              <w:pStyle w:val="Compact"/>
              <w:jc w:val="left"/>
            </w:pPr>
            <w:r>
              <w:t xml:space="preserve">Phase 2</w:t>
            </w:r>
          </w:p>
        </w:tc>
        <w:tc>
          <w:tcPr/>
          <w:p>
            <w:pPr>
              <w:pStyle w:val="Compact"/>
              <w:jc w:val="left"/>
            </w:pPr>
            <w:r>
              <w:t xml:space="preserve">3 months</w:t>
            </w:r>
          </w:p>
        </w:tc>
        <w:tc>
          <w:tcPr/>
          <w:p>
            <w:pPr>
              <w:pStyle w:val="Compact"/>
              <w:jc w:val="left"/>
            </w:pPr>
            <w:r>
              <w:t xml:space="preserve">Construction and assembly</w:t>
            </w:r>
          </w:p>
        </w:tc>
      </w:tr>
      <w:tr>
        <w:tc>
          <w:tcPr/>
          <w:p>
            <w:pPr>
              <w:pStyle w:val="Compact"/>
              <w:jc w:val="left"/>
            </w:pPr>
            <w:r>
              <w:t xml:space="preserve">Phase 3</w:t>
            </w:r>
          </w:p>
        </w:tc>
        <w:tc>
          <w:tcPr/>
          <w:p>
            <w:pPr>
              <w:pStyle w:val="Compact"/>
              <w:jc w:val="left"/>
            </w:pPr>
            <w:r>
              <w:t xml:space="preserve">2 months</w:t>
            </w:r>
          </w:p>
        </w:tc>
        <w:tc>
          <w:tcPr/>
          <w:p>
            <w:pPr>
              <w:pStyle w:val="Compact"/>
              <w:jc w:val="left"/>
            </w:pPr>
            <w:r>
              <w:t xml:space="preserve">Testing and evaluation</w:t>
            </w:r>
          </w:p>
        </w:tc>
      </w:tr>
    </w:tbl>
    <w:p>
      <w:pPr>
        <w:pStyle w:val="BodyText"/>
      </w:pPr>
      <w:r>
        <w:t xml:space="preserve">9. Conclusion</w:t>
      </w:r>
    </w:p>
    <w:p>
      <w:pPr>
        <w:pStyle w:val="BodyText"/>
      </w:pPr>
      <w:r>
        <w:t xml:space="preserve">This Experiment Protocol provides a structured approach to evaluating advanced carpentry techniques in China Shanghai. By focusing on sustainability, efficiency, and cultural integration, the study aims to contribute to the development of innovative construction practices that meet the needs of modern urban environments while respecting local traditions.</w:t>
      </w:r>
    </w:p>
    <w:p>
      <w:pPr>
        <w:pStyle w:val="BodyText"/>
      </w:pPr>
      <w:r>
        <w:t xml:space="preserve">Prepared by: [Your Name/Organization]</w:t>
      </w:r>
    </w:p>
    <w:p>
      <w:pPr>
        <w:pStyle w:val="BodyText"/>
      </w:pPr>
      <w:r>
        <w:t xml:space="preserve">Contact: [Your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Carpentry Techniques in China Shanghai</dc:title>
  <dc:creator/>
  <dc:language>en</dc:language>
  <cp:keywords/>
  <dcterms:created xsi:type="dcterms:W3CDTF">2026-10-10T00:34:26Z</dcterms:created>
  <dcterms:modified xsi:type="dcterms:W3CDTF">2026-10-10T00:34:26Z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