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Joinery</w:t>
      </w:r>
      <w:r>
        <w:t xml:space="preserve"> </w:t>
      </w:r>
      <w:r>
        <w:t xml:space="preserve">Techniques</w:t>
      </w:r>
      <w:r>
        <w:t xml:space="preserve"> </w:t>
      </w:r>
      <w:r>
        <w:t xml:space="preserve">in</w:t>
      </w:r>
      <w:r>
        <w:t xml:space="preserve"> </w:t>
      </w:r>
      <w:r>
        <w:t xml:space="preserve">Urban</w:t>
      </w:r>
      <w:r>
        <w:t xml:space="preserve"> </w:t>
      </w:r>
      <w:r>
        <w:t xml:space="preserve">Environments</w:t>
      </w:r>
    </w:p>
    <w:bookmarkStart w:id="20" w:name="Xc4b19249d30ebcb261678d1d8b0a57480d8b5d8"/>
    <w:p>
      <w:pPr>
        <w:pStyle w:val="Heading1"/>
      </w:pPr>
      <w:r>
        <w:t xml:space="preserve">Experiment Protocol: Structural Integrity of Modern Joinery in High-Humidity Urban Climates</w:t>
      </w:r>
    </w:p>
    <w:p>
      <w:pPr>
        <w:pStyle w:val="FirstParagraph"/>
      </w:pPr>
      <w:r>
        <w:rPr>
          <w:bCs/>
          <w:b/>
        </w:rPr>
        <w:t xml:space="preserve">Protocol ID:</w:t>
      </w:r>
      <w:r>
        <w:t xml:space="preserve"> </w:t>
      </w:r>
      <w:r>
        <w:t xml:space="preserve">EXP-CARP-FFM-2023-04</w:t>
      </w:r>
    </w:p>
    <w:p>
      <w:pPr>
        <w:pStyle w:val="BodyText"/>
      </w:pPr>
      <w:r>
        <w:rPr>
          <w:bCs/>
          <w:b/>
        </w:rPr>
        <w:t xml:space="preserve">Location:</w:t>
      </w:r>
      <w:r>
        <w:t xml:space="preserve"> </w:t>
      </w:r>
      <w:r>
        <w:t xml:space="preserve">Germany Frankfurt, Main-Kinzig District Testing Facility</w:t>
      </w:r>
    </w:p>
    <w:p>
      <w:pPr>
        <w:pStyle w:val="BodyText"/>
      </w:pPr>
      <w:r>
        <w:rPr>
          <w:bCs/>
          <w:b/>
        </w:rPr>
        <w:t xml:space="preserve">Subject:</w:t>
      </w:r>
      <w:r>
        <w:t xml:space="preserve"> </w:t>
      </w:r>
      <w:r>
        <w:t xml:space="preserve">Carpenter Craftsmanship and Material Science</w:t>
      </w:r>
    </w:p>
    <w:p>
      <w:pPr>
        <w:pStyle w:val="BodyText"/>
      </w:pPr>
      <w:r>
        <w:rPr>
          <w:bCs/>
          <w:b/>
        </w:rPr>
        <w:t xml:space="preserve">Date:</w:t>
      </w:r>
      <w:r>
        <w:t xml:space="preserve"> </w:t>
      </w:r>
      <w:r>
        <w:t xml:space="preserve">October 24, 2023</w:t>
      </w:r>
    </w:p>
    <w:p>
      <w:pPr>
        <w:pStyle w:val="BodyText"/>
      </w:pPr>
      <w:r>
        <w:rPr>
          <w:bCs/>
          <w:b/>
        </w:rPr>
        <w:t xml:space="preserve">Lead Investigator:</w:t>
      </w:r>
      <w:r>
        <w:t xml:space="preserve"> </w:t>
      </w:r>
      <w:r>
        <w:t xml:space="preserve">Dr. Hans Weber, Senior Structural Analyst</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designed to evaluate the performance of traditional and modern carpentry techniques when applied to residential structures in the specific climatic conditions of Germany Frankfurt. As a major metropolitan hub located along the Main River, Frankfurt experiences distinct seasonal humidity fluctuations and temperature variances that significantly impact wooden structures.</w:t>
      </w:r>
    </w:p>
    <w:p>
      <w:pPr>
        <w:pStyle w:val="BodyText"/>
      </w:pPr>
      <w:r>
        <w:t xml:space="preserve">The primary objective of this study is to determine the long-term durability, dimensional stability, and aesthetic retention of various joinery methods executed by professional carpenters. Specifically, we aim to compare the efficacy of traditional mortise and tenon joints against modern dowel and adhesive systems when subjected to the environmental stressors prevalent in the Frankfurt region. This data will inform future building codes and best practices for carpenters operating within the Hesse region.</w:t>
      </w:r>
    </w:p>
    <w:bookmarkEnd w:id="21"/>
    <w:bookmarkStart w:id="22" w:name="scope-and-definitions"/>
    <w:p>
      <w:pPr>
        <w:pStyle w:val="Heading2"/>
      </w:pPr>
      <w:r>
        <w:t xml:space="preserve">2. Scope and Definitions</w:t>
      </w:r>
    </w:p>
    <w:p>
      <w:pPr>
        <w:pStyle w:val="FirstParagraph"/>
      </w:pPr>
      <w:r>
        <w:t xml:space="preserve">The scope of this experiment is limited to softwood (Spruce/Pine) and hardwood (Oak) samples commonly used by carpenters in Germany. The term "Carpenter" in this protocol refers to certified craftsmen holding the German "Geselle" or "Meister" qualification, ensuring a standardized level of skill across all test samples.</w:t>
      </w:r>
    </w:p>
    <w:p>
      <w:pPr>
        <w:pStyle w:val="BodyText"/>
      </w:pPr>
      <w:r>
        <w:rPr>
          <w:bCs/>
          <w:b/>
        </w:rPr>
        <w:t xml:space="preserve">Key Definitions:</w:t>
      </w:r>
    </w:p>
    <w:p>
      <w:pPr>
        <w:numPr>
          <w:ilvl w:val="0"/>
          <w:numId w:val="1001"/>
        </w:numPr>
        <w:pStyle w:val="Compact"/>
      </w:pPr>
      <w:r>
        <w:rPr>
          <w:bCs/>
          <w:b/>
        </w:rPr>
        <w:t xml:space="preserve">Germany Frankfurt Climate Profile:</w:t>
      </w:r>
      <w:r>
        <w:t xml:space="preserve"> </w:t>
      </w:r>
      <w:r>
        <w:t xml:space="preserve">Defined by average annual precipitation of 600mm and humidity levels frequently exceeding 75% during winter months.</w:t>
      </w:r>
    </w:p>
    <w:p>
      <w:pPr>
        <w:numPr>
          <w:ilvl w:val="0"/>
          <w:numId w:val="1001"/>
        </w:numPr>
        <w:pStyle w:val="Compact"/>
      </w:pPr>
      <w:r>
        <w:rPr>
          <w:bCs/>
          <w:b/>
        </w:rPr>
        <w:t xml:space="preserve">Joinery Integrity:</w:t>
      </w:r>
      <w:r>
        <w:t xml:space="preserve"> </w:t>
      </w:r>
      <w:r>
        <w:t xml:space="preserve">The resistance of a wooden joint to separation, deformation, or failure under load and environmental stress.</w:t>
      </w:r>
    </w:p>
    <w:p>
      <w:pPr>
        <w:numPr>
          <w:ilvl w:val="0"/>
          <w:numId w:val="1001"/>
        </w:numPr>
        <w:pStyle w:val="Compact"/>
      </w:pPr>
      <w:r>
        <w:rPr>
          <w:bCs/>
          <w:b/>
        </w:rPr>
        <w:t xml:space="preserve">Dimensional Stability:</w:t>
      </w:r>
      <w:r>
        <w:t xml:space="preserve"> </w:t>
      </w:r>
      <w:r>
        <w:t xml:space="preserve">The ability of the wood to resist swelling or shrinking due to moisture absorption.</w:t>
      </w:r>
    </w:p>
    <w:bookmarkEnd w:id="22"/>
    <w:bookmarkStart w:id="23" w:name="materials-and-equipment"/>
    <w:p>
      <w:pPr>
        <w:pStyle w:val="Heading2"/>
      </w:pPr>
      <w:r>
        <w:t xml:space="preserve">3. Materials and Equipment</w:t>
      </w:r>
    </w:p>
    <w:p>
      <w:pPr>
        <w:pStyle w:val="FirstParagraph"/>
      </w:pPr>
      <w:r>
        <w:t xml:space="preserve">To ensure the validity of the results, all materials must be sourced from certified suppliers within the European Union, adhering to DIN standards. The following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Material</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Oak Timber (Eiche)</w:t>
            </w:r>
          </w:p>
        </w:tc>
        <w:tc>
          <w:tcPr/>
          <w:p>
            <w:pPr>
              <w:pStyle w:val="Compact"/>
              <w:jc w:val="left"/>
            </w:pPr>
            <w:r>
              <w:t xml:space="preserve">DIN EN 335, Class 2, Kiln-dried to 12% moisture content</w:t>
            </w:r>
          </w:p>
        </w:tc>
        <w:tc>
          <w:tcPr/>
          <w:p>
            <w:pPr>
              <w:pStyle w:val="Compact"/>
              <w:jc w:val="left"/>
            </w:pPr>
            <w:r>
              <w:t xml:space="preserve">50 Units</w:t>
            </w:r>
          </w:p>
        </w:tc>
      </w:tr>
      <w:tr>
        <w:tc>
          <w:tcPr/>
          <w:p>
            <w:pPr>
              <w:pStyle w:val="Compact"/>
              <w:jc w:val="left"/>
            </w:pPr>
            <w:r>
              <w:t xml:space="preserve">Spruce Timber (Fichte)</w:t>
            </w:r>
          </w:p>
        </w:tc>
        <w:tc>
          <w:tcPr/>
          <w:p>
            <w:pPr>
              <w:pStyle w:val="Compact"/>
              <w:jc w:val="left"/>
            </w:pPr>
            <w:r>
              <w:t xml:space="preserve">DIN EN 335, Class 1, Kiln-dried to 10% moisture content</w:t>
            </w:r>
          </w:p>
        </w:tc>
        <w:tc>
          <w:tcPr/>
          <w:p>
            <w:pPr>
              <w:pStyle w:val="Compact"/>
              <w:jc w:val="left"/>
            </w:pPr>
            <w:r>
              <w:t xml:space="preserve">50 Units</w:t>
            </w:r>
          </w:p>
        </w:tc>
      </w:tr>
      <w:tr>
        <w:tc>
          <w:tcPr/>
          <w:p>
            <w:pPr>
              <w:pStyle w:val="Compact"/>
              <w:jc w:val="left"/>
            </w:pPr>
            <w:r>
              <w:t xml:space="preserve">Polyurethane Adhesive</w:t>
            </w:r>
          </w:p>
        </w:tc>
        <w:tc>
          <w:tcPr/>
          <w:p>
            <w:pPr>
              <w:pStyle w:val="Compact"/>
              <w:jc w:val="left"/>
            </w:pPr>
            <w:r>
              <w:t xml:space="preserve">ISO 14120 compliant, moisture-curing</w:t>
            </w:r>
          </w:p>
        </w:tc>
        <w:tc>
          <w:tcPr/>
          <w:p>
            <w:pPr>
              <w:pStyle w:val="Compact"/>
              <w:jc w:val="left"/>
            </w:pPr>
            <w:r>
              <w:t xml:space="preserve">10 Liters</w:t>
            </w:r>
          </w:p>
        </w:tc>
      </w:tr>
      <w:tr>
        <w:tc>
          <w:tcPr/>
          <w:p>
            <w:pPr>
              <w:pStyle w:val="Compact"/>
              <w:jc w:val="left"/>
            </w:pPr>
            <w:r>
              <w:t xml:space="preserve">Steel Dowels</w:t>
            </w:r>
          </w:p>
        </w:tc>
        <w:tc>
          <w:tcPr/>
          <w:p>
            <w:pPr>
              <w:pStyle w:val="Compact"/>
              <w:jc w:val="left"/>
            </w:pPr>
            <w:r>
              <w:t xml:space="preserve">Stainless Steel V2A, 8mm diameter</w:t>
            </w:r>
          </w:p>
        </w:tc>
        <w:tc>
          <w:tcPr/>
          <w:p>
            <w:pPr>
              <w:pStyle w:val="Compact"/>
              <w:jc w:val="left"/>
            </w:pPr>
            <w:r>
              <w:t xml:space="preserve">200 Units</w:t>
            </w:r>
          </w:p>
        </w:tc>
      </w:tr>
    </w:tbl>
    <w:p>
      <w:pPr>
        <w:pStyle w:val="BodyText"/>
      </w:pPr>
      <w:r>
        <w:t xml:space="preserve">Equipment includes precision moisture meters, digital calipers, a controlled environmental chamber capable of simulating Germany Frankfurt weather patterns, and a universal testing machine for load application.</w:t>
      </w:r>
    </w:p>
    <w:bookmarkEnd w:id="23"/>
    <w:bookmarkStart w:id="27" w:name="methodology"/>
    <w:p>
      <w:pPr>
        <w:pStyle w:val="Heading2"/>
      </w:pPr>
      <w:r>
        <w:t xml:space="preserve">4. Methodology</w:t>
      </w:r>
    </w:p>
    <w:bookmarkStart w:id="24" w:name="sample-preparation"/>
    <w:p>
      <w:pPr>
        <w:pStyle w:val="Heading3"/>
      </w:pPr>
      <w:r>
        <w:t xml:space="preserve">4.1 Sample Preparation</w:t>
      </w:r>
    </w:p>
    <w:p>
      <w:pPr>
        <w:pStyle w:val="FirstParagraph"/>
      </w:pPr>
      <w:r>
        <w:t xml:space="preserve">Certified carpenters will prepare three distinct groups of samples. Each group will consist of 20 joints.</w:t>
      </w:r>
    </w:p>
    <w:p>
      <w:pPr>
        <w:numPr>
          <w:ilvl w:val="0"/>
          <w:numId w:val="1002"/>
        </w:numPr>
        <w:pStyle w:val="Compact"/>
      </w:pPr>
      <w:r>
        <w:rPr>
          <w:bCs/>
          <w:b/>
        </w:rPr>
        <w:t xml:space="preserve">Group A (Traditional):</w:t>
      </w:r>
      <w:r>
        <w:t xml:space="preserve"> </w:t>
      </w:r>
      <w:r>
        <w:t xml:space="preserve">Mortise and tenon joints secured with wooden pegs only. No adhesive used.</w:t>
      </w:r>
    </w:p>
    <w:p>
      <w:pPr>
        <w:numPr>
          <w:ilvl w:val="0"/>
          <w:numId w:val="1002"/>
        </w:numPr>
        <w:pStyle w:val="Compact"/>
      </w:pPr>
      <w:r>
        <w:rPr>
          <w:bCs/>
          <w:b/>
        </w:rPr>
        <w:t xml:space="preserve">Group B (Modern Hybrid):</w:t>
      </w:r>
      <w:r>
        <w:t xml:space="preserve"> </w:t>
      </w:r>
      <w:r>
        <w:t xml:space="preserve">Dowel joints secured with polyurethane adhesive and steel dowels.</w:t>
      </w:r>
    </w:p>
    <w:p>
      <w:pPr>
        <w:numPr>
          <w:ilvl w:val="0"/>
          <w:numId w:val="1002"/>
        </w:numPr>
        <w:pStyle w:val="Compact"/>
      </w:pPr>
      <w:r>
        <w:rPr>
          <w:bCs/>
          <w:b/>
        </w:rPr>
        <w:t xml:space="preserve">Group C (Control):</w:t>
      </w:r>
      <w:r>
        <w:t xml:space="preserve"> </w:t>
      </w:r>
      <w:r>
        <w:t xml:space="preserve">Standard butt joints secured with screws and adhesive, representing common low-cost construction in Frankfurt.</w:t>
      </w:r>
    </w:p>
    <w:p>
      <w:pPr>
        <w:pStyle w:val="FirstParagraph"/>
      </w:pPr>
      <w:r>
        <w:t xml:space="preserve">All carpenters must document their process, including tool settings and ambient temperature during fabrication, to ensure reproducibility.</w:t>
      </w:r>
    </w:p>
    <w:bookmarkEnd w:id="24"/>
    <w:bookmarkStart w:id="25" w:name="environmental-simulation"/>
    <w:p>
      <w:pPr>
        <w:pStyle w:val="Heading3"/>
      </w:pPr>
      <w:r>
        <w:t xml:space="preserve">4.2 Environmental Simulation</w:t>
      </w:r>
    </w:p>
    <w:p>
      <w:pPr>
        <w:pStyle w:val="FirstParagraph"/>
      </w:pPr>
      <w:r>
        <w:t xml:space="preserve">The samples will be placed in the environmental chamber. The chamber will cycle through conditions mimicking a typical year in Germany Frankfurt:</w:t>
      </w:r>
    </w:p>
    <w:p>
      <w:pPr>
        <w:numPr>
          <w:ilvl w:val="0"/>
          <w:numId w:val="1003"/>
        </w:numPr>
        <w:pStyle w:val="Compact"/>
      </w:pPr>
      <w:r>
        <w:rPr>
          <w:bCs/>
          <w:b/>
        </w:rPr>
        <w:t xml:space="preserve">Summer Phase:</w:t>
      </w:r>
      <w:r>
        <w:t xml:space="preserve"> </w:t>
      </w:r>
      <w:r>
        <w:t xml:space="preserve">25°C temperature, 40% relative humidity for 14 days.</w:t>
      </w:r>
    </w:p>
    <w:p>
      <w:pPr>
        <w:numPr>
          <w:ilvl w:val="0"/>
          <w:numId w:val="1003"/>
        </w:numPr>
        <w:pStyle w:val="Compact"/>
      </w:pPr>
      <w:r>
        <w:rPr>
          <w:bCs/>
          <w:b/>
        </w:rPr>
        <w:t xml:space="preserve">Autumn/Winter Phase:</w:t>
      </w:r>
      <w:r>
        <w:t xml:space="preserve"> </w:t>
      </w:r>
      <w:r>
        <w:t xml:space="preserve">5°C temperature, 85% relative humidity for 28 days.</w:t>
      </w:r>
    </w:p>
    <w:p>
      <w:pPr>
        <w:numPr>
          <w:ilvl w:val="0"/>
          <w:numId w:val="1003"/>
        </w:numPr>
        <w:pStyle w:val="Compact"/>
      </w:pPr>
      <w:r>
        <w:rPr>
          <w:bCs/>
          <w:b/>
        </w:rPr>
        <w:t xml:space="preserve">Spring Phase:</w:t>
      </w:r>
      <w:r>
        <w:t xml:space="preserve"> </w:t>
      </w:r>
      <w:r>
        <w:t xml:space="preserve">15°C temperature, 60% relative humidity for 14 days.</w:t>
      </w:r>
    </w:p>
    <w:p>
      <w:pPr>
        <w:pStyle w:val="FirstParagraph"/>
      </w:pPr>
      <w:r>
        <w:t xml:space="preserve">This cycle will be repeated four times to simulate four years of exposure in an accelerated timeframe.</w:t>
      </w:r>
    </w:p>
    <w:bookmarkEnd w:id="25"/>
    <w:bookmarkStart w:id="26" w:name="data-collection"/>
    <w:p>
      <w:pPr>
        <w:pStyle w:val="Heading3"/>
      </w:pPr>
      <w:r>
        <w:t xml:space="preserve">4.3 Data Collection</w:t>
      </w:r>
    </w:p>
    <w:p>
      <w:pPr>
        <w:pStyle w:val="FirstParagraph"/>
      </w:pPr>
      <w:r>
        <w:t xml:space="preserve">At the end of each cycle, the following measurements will be recorded:</w:t>
      </w:r>
    </w:p>
    <w:p>
      <w:pPr>
        <w:numPr>
          <w:ilvl w:val="0"/>
          <w:numId w:val="1004"/>
        </w:numPr>
        <w:pStyle w:val="Compact"/>
      </w:pPr>
      <w:r>
        <w:t xml:space="preserve">Moisture content of the wood at the joint interface.</w:t>
      </w:r>
    </w:p>
    <w:p>
      <w:pPr>
        <w:numPr>
          <w:ilvl w:val="0"/>
          <w:numId w:val="1004"/>
        </w:numPr>
        <w:pStyle w:val="Compact"/>
      </w:pPr>
      <w:r>
        <w:t xml:space="preserve">Gap width at the joint seam using digital calipers.</w:t>
      </w:r>
    </w:p>
    <w:p>
      <w:pPr>
        <w:numPr>
          <w:ilvl w:val="0"/>
          <w:numId w:val="1004"/>
        </w:numPr>
        <w:pStyle w:val="Compact"/>
      </w:pPr>
      <w:r>
        <w:t xml:space="preserve">Visual inspection for mold growth, warping, or adhesive failure.</w:t>
      </w:r>
    </w:p>
    <w:p>
      <w:pPr>
        <w:numPr>
          <w:ilvl w:val="0"/>
          <w:numId w:val="1004"/>
        </w:numPr>
        <w:pStyle w:val="Compact"/>
      </w:pPr>
      <w:r>
        <w:t xml:space="preserve">Tensile strength testing on a subset of samples (5 per group) to determine structural degradation.</w:t>
      </w:r>
    </w:p>
    <w:bookmarkEnd w:id="26"/>
    <w:bookmarkEnd w:id="27"/>
    <w:bookmarkStart w:id="28" w:name="safety-and-compliance"/>
    <w:p>
      <w:pPr>
        <w:pStyle w:val="Heading2"/>
      </w:pPr>
      <w:r>
        <w:t xml:space="preserve">5. Safety and Compliance</w:t>
      </w:r>
    </w:p>
    <w:p>
      <w:pPr>
        <w:pStyle w:val="FirstParagraph"/>
      </w:pPr>
      <w:r>
        <w:t xml:space="preserve">All procedures must adhere to the German Occupational Safety and Health Act (ArbSchG). Carpenters and technicians must wear appropriate personal protective equipment (PPE), including safety glasses, hearing protection, and dust masks. The use of adhesives requires adequate ventilation to prevent inhalation of volatile organic compounds (VOCs). Waste wood and chemical containers must be disposed of according to local Frankfurt municipal regulations.</w:t>
      </w:r>
    </w:p>
    <w:bookmarkEnd w:id="28"/>
    <w:bookmarkStart w:id="29" w:name="expected-outcomes-and-analysis"/>
    <w:p>
      <w:pPr>
        <w:pStyle w:val="Heading2"/>
      </w:pPr>
      <w:r>
        <w:t xml:space="preserve">6. Expected Outcomes and Analysis</w:t>
      </w:r>
    </w:p>
    <w:p>
      <w:pPr>
        <w:pStyle w:val="FirstParagraph"/>
      </w:pPr>
      <w:r>
        <w:t xml:space="preserve">We hypothesize that Group A (Traditional) will exhibit superior dimensional stability due to the mechanical nature of the joint allowing for natural wood movement, which is critical in the variable climate of Germany Frankfurt. Group B is expected to show high initial strength but potential adhesive failure during high-humidity cycles. Group C is anticipated to show the highest rate of degradation.</w:t>
      </w:r>
    </w:p>
    <w:p>
      <w:pPr>
        <w:pStyle w:val="BodyText"/>
      </w:pPr>
      <w:r>
        <w:t xml:space="preserve">Statistical analysis will be performed using ANOVA to determine significant differences between the groups. The results will be compiled into a final report to guide carpentry education and construction standards in the region.</w:t>
      </w:r>
    </w:p>
    <w:bookmarkEnd w:id="29"/>
    <w:bookmarkStart w:id="30" w:name="conclusion"/>
    <w:p>
      <w:pPr>
        <w:pStyle w:val="Heading2"/>
      </w:pPr>
      <w:r>
        <w:t xml:space="preserve">7. Conclusion</w:t>
      </w:r>
    </w:p>
    <w:p>
      <w:pPr>
        <w:pStyle w:val="FirstParagraph"/>
      </w:pPr>
      <w:r>
        <w:t xml:space="preserve">This Experiment Protocol provides a structured approach to understanding the interaction between carpentry techniques and the specific environmental challenges of Germany Frankfurt. By rigorously testing these methods, we aim to enhance the longevity and safety of wooden structures in urban environments.</w:t>
      </w:r>
    </w:p>
    <w:bookmarkEnd w:id="30"/>
    <w:p>
      <w:pPr>
        <w:pStyle w:val="BodyText"/>
      </w:pPr>
      <w:r>
        <w:t xml:space="preserve">End of Document. Approved by the Technical Review Board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Joinery Techniques in Urban Environments</dc:title>
  <dc:creator/>
  <dc:language>en</dc:language>
  <cp:keywords/>
  <dcterms:created xsi:type="dcterms:W3CDTF">2026-10-10T04:01:24Z</dcterms:created>
  <dcterms:modified xsi:type="dcterms:W3CDTF">2026-10-10T04:01:24Z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