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Joinery</w:t>
      </w:r>
      <w:r>
        <w:t xml:space="preserve"> </w:t>
      </w:r>
      <w:r>
        <w:t xml:space="preserve">and</w:t>
      </w:r>
      <w:r>
        <w:t xml:space="preserve"> </w:t>
      </w:r>
      <w:r>
        <w:t xml:space="preserve">Material</w:t>
      </w:r>
      <w:r>
        <w:t xml:space="preserve"> </w:t>
      </w:r>
      <w:r>
        <w:t xml:space="preserve">Stress</w:t>
      </w:r>
      <w:r>
        <w:t xml:space="preserve"> </w:t>
      </w:r>
      <w:r>
        <w:t xml:space="preserve">Testing</w:t>
      </w:r>
      <w:r>
        <w:t xml:space="preserve"> </w:t>
      </w:r>
      <w:r>
        <w:t xml:space="preserve">in</w:t>
      </w:r>
      <w:r>
        <w:t xml:space="preserve"> </w:t>
      </w:r>
      <w:r>
        <w:t xml:space="preserve">Urban</w:t>
      </w:r>
      <w:r>
        <w:t xml:space="preserve"> </w:t>
      </w:r>
      <w:r>
        <w:t xml:space="preserve">Environments</w:t>
      </w:r>
    </w:p>
    <w:bookmarkStart w:id="34" w:name="X153fe30405338857aeb4130fc7b11801ba94751"/>
    <w:p>
      <w:pPr>
        <w:pStyle w:val="Heading1"/>
      </w:pPr>
      <w:r>
        <w:t xml:space="preserve">Experiment Protocol: Structural Integrity and Acoustic Performance of Traditional Joinery in High-Density Urban Environments</w:t>
      </w:r>
    </w:p>
    <w:p>
      <w:pPr>
        <w:pStyle w:val="FirstParagraph"/>
      </w:pPr>
      <w:r>
        <w:rPr>
          <w:bCs/>
          <w:b/>
        </w:rPr>
        <w:t xml:space="preserve">Protocol ID:</w:t>
      </w:r>
      <w:r>
        <w:t xml:space="preserve"> </w:t>
      </w:r>
      <w:r>
        <w:t xml:space="preserve">JP-TKY-CRP-2024-001</w:t>
      </w:r>
    </w:p>
    <w:p>
      <w:pPr>
        <w:pStyle w:val="BodyText"/>
      </w:pPr>
      <w:r>
        <w:rPr>
          <w:bCs/>
          <w:b/>
        </w:rPr>
        <w:t xml:space="preserve">Subject:</w:t>
      </w:r>
      <w:r>
        <w:t xml:space="preserve"> </w:t>
      </w:r>
      <w:r>
        <w:t xml:space="preserve">Carpenter Craftsmanship and Material Science</w:t>
      </w:r>
    </w:p>
    <w:p>
      <w:pPr>
        <w:pStyle w:val="BodyText"/>
      </w:pPr>
      <w:r>
        <w:rPr>
          <w:bCs/>
          <w:b/>
        </w:rPr>
        <w:t xml:space="preserve">Location:</w:t>
      </w:r>
      <w:r>
        <w:t xml:space="preserve"> </w:t>
      </w:r>
      <w:r>
        <w:t xml:space="preserve">Japan Tokyo (Specifically: Koto Ward and Setagaya District)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efficacy of traditional Japanese carpentry techniques when applied to modern structural requirements within the unique environmental context of Japan Tokyo. The primary objective is to evaluate the performance of specific joinery methods—executed by a certified Carpenter—under the high-humidity, high-seismic, and high-acoustic-load conditions characteristic of Tokyo's urban landscape.</w:t>
      </w:r>
    </w:p>
    <w:p>
      <w:pPr>
        <w:pStyle w:val="BodyText"/>
      </w:pPr>
      <w:r>
        <w:t xml:space="preserve">The role of the Carpenter in this study is pivotal. Unlike automated manufacturing processes, the human element of the Carpenter introduces variables regarding precision, tool selection, and material intuition. This protocol seeks to quantify whether the artisanal approach of a Carpenter yields superior structural resilience compared to standardized industrial fastening methods in the specific micro-climate of Tokyo.</w:t>
      </w:r>
    </w:p>
    <w:bookmarkEnd w:id="20"/>
    <w:bookmarkStart w:id="21" w:name="scope-and-context"/>
    <w:p>
      <w:pPr>
        <w:pStyle w:val="Heading2"/>
      </w:pPr>
      <w:r>
        <w:t xml:space="preserve">2. Scope and Context</w:t>
      </w:r>
    </w:p>
    <w:p>
      <w:pPr>
        <w:pStyle w:val="FirstParagraph"/>
      </w:pPr>
      <w:r>
        <w:t xml:space="preserve">The experiment is strictly confined to the geographical boundaries of Japan Tokyo. The selection of Tokyo is deliberate due to its distinct environmental stressors:</w:t>
      </w:r>
    </w:p>
    <w:p>
      <w:pPr>
        <w:numPr>
          <w:ilvl w:val="0"/>
          <w:numId w:val="1001"/>
        </w:numPr>
        <w:pStyle w:val="Compact"/>
      </w:pPr>
      <w:r>
        <w:rPr>
          <w:bCs/>
          <w:b/>
        </w:rPr>
        <w:t xml:space="preserve">Seismic Activity:</w:t>
      </w:r>
      <w:r>
        <w:t xml:space="preserve"> </w:t>
      </w:r>
      <w:r>
        <w:t xml:space="preserve">Tokyo is situated in a high-risk seismic zone. The Carpenter must demonstrate joinery techniques capable of absorbing and dissipating kinetic energy without failure.</w:t>
      </w:r>
    </w:p>
    <w:p>
      <w:pPr>
        <w:numPr>
          <w:ilvl w:val="0"/>
          <w:numId w:val="1001"/>
        </w:numPr>
        <w:pStyle w:val="Compact"/>
      </w:pPr>
      <w:r>
        <w:rPr>
          <w:bCs/>
          <w:b/>
        </w:rPr>
        <w:t xml:space="preserve">Humidity and Temperature:</w:t>
      </w:r>
      <w:r>
        <w:t xml:space="preserve"> </w:t>
      </w:r>
      <w:r>
        <w:t xml:space="preserve">The humid subtropical climate of Tokyo causes significant wood expansion and contraction. The Carpenter’s work must maintain integrity despite these cyclical dimensional changes.</w:t>
      </w:r>
    </w:p>
    <w:p>
      <w:pPr>
        <w:numPr>
          <w:ilvl w:val="0"/>
          <w:numId w:val="1001"/>
        </w:numPr>
        <w:pStyle w:val="Compact"/>
      </w:pPr>
      <w:r>
        <w:rPr>
          <w:bCs/>
          <w:b/>
        </w:rPr>
        <w:t xml:space="preserve">Urban Density:</w:t>
      </w:r>
      <w:r>
        <w:t xml:space="preserve"> </w:t>
      </w:r>
      <w:r>
        <w:t xml:space="preserve">The acoustic environment of Tokyo requires structures that provide superior sound insulation. The Carpenter will be tasked with creating tight-fitting joints that minimize air gaps and sound transmission.</w:t>
      </w:r>
    </w:p>
    <w:bookmarkEnd w:id="21"/>
    <w:bookmarkStart w:id="22" w:name="materials-and-equipment"/>
    <w:p>
      <w:pPr>
        <w:pStyle w:val="Heading2"/>
      </w:pPr>
      <w:r>
        <w:t xml:space="preserve">3. Materials and Equipment</w:t>
      </w:r>
    </w:p>
    <w:p>
      <w:pPr>
        <w:pStyle w:val="FirstParagraph"/>
      </w:pPr>
      <w:r>
        <w:t xml:space="preserve">All materials must be sourced locally within the Kanto region to ensure relevance to the Japan Tokyo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Wood Species</w:t>
            </w:r>
          </w:p>
        </w:tc>
        <w:tc>
          <w:tcPr/>
          <w:p>
            <w:pPr>
              <w:pStyle w:val="Compact"/>
              <w:jc w:val="left"/>
            </w:pPr>
            <w:r>
              <w:t xml:space="preserve">Sugi (Japanese Cedar) and Hinoki (Japanese Cypress), kiln-dried to 12% moisture content.</w:t>
            </w:r>
          </w:p>
        </w:tc>
        <w:tc>
          <w:tcPr/>
          <w:p>
            <w:pPr>
              <w:pStyle w:val="Compact"/>
              <w:jc w:val="left"/>
            </w:pPr>
            <w:r>
              <w:t xml:space="preserve">50 Units</w:t>
            </w:r>
          </w:p>
        </w:tc>
      </w:tr>
      <w:tr>
        <w:tc>
          <w:tcPr/>
          <w:p>
            <w:pPr>
              <w:pStyle w:val="Compact"/>
              <w:jc w:val="left"/>
            </w:pPr>
            <w:r>
              <w:t xml:space="preserve">Tools</w:t>
            </w:r>
          </w:p>
        </w:tc>
        <w:tc>
          <w:tcPr/>
          <w:p>
            <w:pPr>
              <w:pStyle w:val="Compact"/>
              <w:jc w:val="left"/>
            </w:pPr>
            <w:r>
              <w:t xml:space="preserve">Traditional Japanese hand tools (Nomi, Kanna, Noko) provided to the Carpenter.</w:t>
            </w:r>
          </w:p>
        </w:tc>
        <w:tc>
          <w:tcPr/>
          <w:p>
            <w:pPr>
              <w:pStyle w:val="Compact"/>
              <w:jc w:val="left"/>
            </w:pPr>
            <w:r>
              <w:t xml:space="preserve">1 Set</w:t>
            </w:r>
          </w:p>
        </w:tc>
      </w:tr>
      <w:tr>
        <w:tc>
          <w:tcPr/>
          <w:p>
            <w:pPr>
              <w:pStyle w:val="Compact"/>
              <w:jc w:val="left"/>
            </w:pPr>
            <w:r>
              <w:t xml:space="preserve">Fasteners (Control Group)</w:t>
            </w:r>
          </w:p>
        </w:tc>
        <w:tc>
          <w:tcPr/>
          <w:p>
            <w:pPr>
              <w:pStyle w:val="Compact"/>
              <w:jc w:val="left"/>
            </w:pPr>
            <w:r>
              <w:t xml:space="preserve">Standard stainless steel screws and nails.</w:t>
            </w:r>
          </w:p>
        </w:tc>
        <w:tc>
          <w:tcPr/>
          <w:p>
            <w:pPr>
              <w:pStyle w:val="Compact"/>
              <w:jc w:val="left"/>
            </w:pPr>
            <w:r>
              <w:t xml:space="preserve">200 Units</w:t>
            </w:r>
          </w:p>
        </w:tc>
      </w:tr>
      <w:tr>
        <w:tc>
          <w:tcPr/>
          <w:p>
            <w:pPr>
              <w:pStyle w:val="Compact"/>
              <w:jc w:val="left"/>
            </w:pPr>
            <w:r>
              <w:t xml:space="preserve">Adhesives</w:t>
            </w:r>
          </w:p>
        </w:tc>
        <w:tc>
          <w:tcPr/>
          <w:p>
            <w:pPr>
              <w:pStyle w:val="Compact"/>
              <w:jc w:val="left"/>
            </w:pPr>
            <w:r>
              <w:t xml:space="preserve">Urethane-based structural adhesive compliant with Japanese Industrial Standards (JIS).</w:t>
            </w:r>
          </w:p>
        </w:tc>
        <w:tc>
          <w:tcPr/>
          <w:p>
            <w:pPr>
              <w:pStyle w:val="Compact"/>
              <w:jc w:val="left"/>
            </w:pPr>
            <w:r>
              <w:t xml:space="preserve">5 Liters</w:t>
            </w:r>
          </w:p>
        </w:tc>
      </w:tr>
    </w:tbl>
    <w:bookmarkEnd w:id="22"/>
    <w:bookmarkStart w:id="26" w:name="methodology"/>
    <w:p>
      <w:pPr>
        <w:pStyle w:val="Heading2"/>
      </w:pPr>
      <w:r>
        <w:t xml:space="preserve">4. Methodology</w:t>
      </w:r>
    </w:p>
    <w:bookmarkStart w:id="23" w:name="participant-selection-the-carpenter"/>
    <w:p>
      <w:pPr>
        <w:pStyle w:val="Heading3"/>
      </w:pPr>
      <w:r>
        <w:t xml:space="preserve">4.1. Participant Selection (The Carpenter)</w:t>
      </w:r>
    </w:p>
    <w:p>
      <w:pPr>
        <w:pStyle w:val="FirstParagraph"/>
      </w:pPr>
      <w:r>
        <w:t xml:space="preserve">The Carpenter selected for this experiment must hold a valid license issued by the Japanese government and possess a minimum of ten years of experience working within Japan Tokyo. The Carpenter must be proficient in both traditional joinery (Kigumi) and modern framing techniques.</w:t>
      </w:r>
    </w:p>
    <w:bookmarkEnd w:id="23"/>
    <w:bookmarkStart w:id="24" w:name="construction-phase"/>
    <w:p>
      <w:pPr>
        <w:pStyle w:val="Heading3"/>
      </w:pPr>
      <w:r>
        <w:t xml:space="preserve">4.2. Construction Phase</w:t>
      </w:r>
    </w:p>
    <w:p>
      <w:pPr>
        <w:pStyle w:val="FirstParagraph"/>
      </w:pPr>
      <w:r>
        <w:t xml:space="preserve">The Carpenter will construct two identical structural frames (3m x 3m x 3m).</w:t>
      </w:r>
    </w:p>
    <w:p>
      <w:pPr>
        <w:numPr>
          <w:ilvl w:val="0"/>
          <w:numId w:val="1002"/>
        </w:numPr>
        <w:pStyle w:val="Compact"/>
      </w:pPr>
      <w:r>
        <w:rPr>
          <w:bCs/>
          <w:b/>
        </w:rPr>
        <w:t xml:space="preserve">Frame A (Experimental):</w:t>
      </w:r>
      <w:r>
        <w:t xml:space="preserve"> </w:t>
      </w:r>
      <w:r>
        <w:t xml:space="preserve">Constructed entirely using traditional joinery techniques (e.g., Tenon and Mortise, Dovetail) without the use of metal fasteners. This tests the pure skill of the Carpenter.</w:t>
      </w:r>
    </w:p>
    <w:p>
      <w:pPr>
        <w:numPr>
          <w:ilvl w:val="0"/>
          <w:numId w:val="1002"/>
        </w:numPr>
        <w:pStyle w:val="Compact"/>
      </w:pPr>
      <w:r>
        <w:rPr>
          <w:bCs/>
          <w:b/>
        </w:rPr>
        <w:t xml:space="preserve">Frame B (Control):</w:t>
      </w:r>
      <w:r>
        <w:t xml:space="preserve"> </w:t>
      </w:r>
      <w:r>
        <w:t xml:space="preserve">Constructed using standard industrial methods with metal screws and nails, adhering to current Tokyo building codes.</w:t>
      </w:r>
    </w:p>
    <w:bookmarkEnd w:id="24"/>
    <w:bookmarkStart w:id="25" w:name="environmental-exposure"/>
    <w:p>
      <w:pPr>
        <w:pStyle w:val="Heading3"/>
      </w:pPr>
      <w:r>
        <w:t xml:space="preserve">4.3. Environmental Exposure</w:t>
      </w:r>
    </w:p>
    <w:p>
      <w:pPr>
        <w:pStyle w:val="FirstParagraph"/>
      </w:pPr>
      <w:r>
        <w:t xml:space="preserve">Both frames will be placed in an outdoor testing facility in the Koto Ward of Japan Tokyo. They will be exposed to natural elements for a period of six months. This duration covers the transition from the dry winter to the humid rainy season (Tsuyu) and the hot summer, simulating real-world conditions faced by structures in Tokyo.</w:t>
      </w:r>
    </w:p>
    <w:bookmarkEnd w:id="25"/>
    <w:bookmarkEnd w:id="26"/>
    <w:bookmarkStart w:id="30" w:name="data-collection-and-analysis"/>
    <w:p>
      <w:pPr>
        <w:pStyle w:val="Heading2"/>
      </w:pPr>
      <w:r>
        <w:t xml:space="preserve">5. Data Collection and Analysis</w:t>
      </w:r>
    </w:p>
    <w:p>
      <w:pPr>
        <w:pStyle w:val="FirstParagraph"/>
      </w:pPr>
      <w:r>
        <w:t xml:space="preserve">Data will be collected at monthly intervals by independent structural engineers. The Carpenter will not be present during testing to ensure objectivity.</w:t>
      </w:r>
    </w:p>
    <w:bookmarkStart w:id="27" w:name="seismic-simulation"/>
    <w:p>
      <w:pPr>
        <w:pStyle w:val="Heading3"/>
      </w:pPr>
      <w:r>
        <w:t xml:space="preserve">5.1. Seismic Simulation</w:t>
      </w:r>
    </w:p>
    <w:p>
      <w:pPr>
        <w:pStyle w:val="FirstParagraph"/>
      </w:pPr>
      <w:r>
        <w:t xml:space="preserve">Using a portable shake table, both frames will be subjected to simulated seismic waves equivalent to a magnitude 6.0 earthquake, a common threshold for structural testing in Japan Tokyo. The displacement and recovery of the Carpenter’s joinery in Frame A will be compared against Frame B.</w:t>
      </w:r>
    </w:p>
    <w:bookmarkEnd w:id="27"/>
    <w:bookmarkStart w:id="28" w:name="moisture-content-monitoring"/>
    <w:p>
      <w:pPr>
        <w:pStyle w:val="Heading3"/>
      </w:pPr>
      <w:r>
        <w:t xml:space="preserve">5.2. Moisture Content Monitoring</w:t>
      </w:r>
    </w:p>
    <w:p>
      <w:pPr>
        <w:pStyle w:val="FirstParagraph"/>
      </w:pPr>
      <w:r>
        <w:t xml:space="preserve">Moisture meters will be used to track the absorption rates of the wood. The Carpenter’s joint tightness will be evaluated to determine if humidity-induced swelling has caused structural warping or joint failure.</w:t>
      </w:r>
    </w:p>
    <w:bookmarkEnd w:id="28"/>
    <w:bookmarkStart w:id="29" w:name="acoustic-testing"/>
    <w:p>
      <w:pPr>
        <w:pStyle w:val="Heading3"/>
      </w:pPr>
      <w:r>
        <w:t xml:space="preserve">5.3. Acoustic Testing</w:t>
      </w:r>
    </w:p>
    <w:p>
      <w:pPr>
        <w:pStyle w:val="FirstParagraph"/>
      </w:pPr>
      <w:r>
        <w:t xml:space="preserve">Given the noise pollution levels in Japan Tokyo, sound transmission loss (STL) will be measured. The Carpenter’s ability to create seamless joints in Frame A is hypothesized to result in lower sound transmission compared to the potential micro-gaps in the screwed joints of Frame B.</w:t>
      </w:r>
    </w:p>
    <w:bookmarkEnd w:id="29"/>
    <w:bookmarkEnd w:id="30"/>
    <w:bookmarkStart w:id="31" w:name="safety-and-compliance"/>
    <w:p>
      <w:pPr>
        <w:pStyle w:val="Heading2"/>
      </w:pPr>
      <w:r>
        <w:t xml:space="preserve">6. Safety and Compliance</w:t>
      </w:r>
    </w:p>
    <w:p>
      <w:pPr>
        <w:pStyle w:val="FirstParagraph"/>
      </w:pPr>
      <w:r>
        <w:t xml:space="preserve">This experiment adheres to the Occupational Safety and Health Act of Japan. The Carpenter must wear appropriate personal protective equipment (PPE) during the construction phase. All testing equipment must be certified by the Tokyo Metropolitan Government.</w:t>
      </w:r>
    </w:p>
    <w:p>
      <w:pPr>
        <w:pStyle w:val="BodyText"/>
      </w:pPr>
      <w:r>
        <w:rPr>
          <w:bCs/>
          <w:b/>
        </w:rPr>
        <w:t xml:space="preserve">Warning:</w:t>
      </w:r>
      <w:r>
        <w:t xml:space="preserve"> </w:t>
      </w:r>
      <w:r>
        <w:t xml:space="preserve">During seismic simulation, all personnel must maintain a safe distance of at least 10 meters from the test frames. The Carpenter is prohibited from entering the testing zone during active simulation.</w:t>
      </w:r>
    </w:p>
    <w:bookmarkEnd w:id="31"/>
    <w:bookmarkStart w:id="32" w:name="expected-outcomes"/>
    <w:p>
      <w:pPr>
        <w:pStyle w:val="Heading2"/>
      </w:pPr>
      <w:r>
        <w:t xml:space="preserve">7. Expected Outcomes</w:t>
      </w:r>
    </w:p>
    <w:p>
      <w:pPr>
        <w:pStyle w:val="FirstParagraph"/>
      </w:pPr>
      <w:r>
        <w:t xml:space="preserve">It is anticipated that the Carpenter’s traditional joinery (Frame A) will demonstrate superior flexibility during seismic events, allowing the structure to sway without breaking. Furthermore, the tight tolerances achieved by the Carpenter are expected to provide better resistance against the high humidity of Japan Tokyo, as wood-to-wood friction may adapt better to swelling than rigid metal fasteners.</w:t>
      </w:r>
    </w:p>
    <w:p>
      <w:pPr>
        <w:pStyle w:val="BodyText"/>
      </w:pPr>
      <w:r>
        <w:t xml:space="preserve">This Experiment Protocol aims to validate the continued relevance of the Carpenter in modern construction, proving that traditional skills offer tangible benefits in the specific environmental context of Japan Tokyo.</w:t>
      </w:r>
    </w:p>
    <w:bookmarkEnd w:id="32"/>
    <w:bookmarkStart w:id="33" w:name="signatures"/>
    <w:p>
      <w:pPr>
        <w:pStyle w:val="Heading2"/>
      </w:pPr>
      <w:r>
        <w:t xml:space="preserve">8. Signatures</w:t>
      </w:r>
    </w:p>
    <w:p>
      <w:pPr>
        <w:pStyle w:val="FirstParagraph"/>
      </w:pPr>
      <w:r>
        <w:rPr>
          <w:bCs/>
          <w:b/>
        </w:rPr>
        <w:t xml:space="preserve">Lead Researcher:</w:t>
      </w:r>
      <w:r>
        <w:t xml:space="preserve"> </w:t>
      </w:r>
      <w:r>
        <w:t xml:space="preserve">__________________________</w:t>
      </w:r>
      <w:r>
        <w:br/>
      </w:r>
      <w:r>
        <w:rPr>
          <w:bCs/>
          <w:b/>
        </w:rPr>
        <w:t xml:space="preserve">Participating Carpenter:</w:t>
      </w:r>
      <w:r>
        <w:t xml:space="preserve"> </w:t>
      </w:r>
      <w:r>
        <w:t xml:space="preserve">__________________________</w:t>
      </w:r>
      <w:r>
        <w:br/>
      </w:r>
      <w:r>
        <w:rPr>
          <w:bCs/>
          <w:b/>
        </w:rPr>
        <w:t xml:space="preserve">Date:</w:t>
      </w:r>
      <w:r>
        <w:t xml:space="preserve"> </w:t>
      </w:r>
      <w:r>
        <w:t xml:space="preserve">__________________________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Joinery and Material Stress Testing in Urban Environments</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