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Abu</w:t>
      </w:r>
      <w:r>
        <w:t xml:space="preserve"> </w:t>
      </w:r>
      <w:r>
        <w:t xml:space="preserve">Dhabi</w:t>
      </w:r>
    </w:p>
    <w:p>
      <w:pPr>
        <w:pStyle w:val="FirstParagraph"/>
      </w:pPr>
      <w:r>
        <w:rPr>
          <w:bCs/>
          <w:b/>
        </w:rPr>
        <w:t xml:space="preserve">Document ID:</w:t>
      </w:r>
      <w:r>
        <w:t xml:space="preserve"> </w:t>
      </w:r>
      <w:r>
        <w:t xml:space="preserve">EXP-CARP-AD-2023-001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United Arab Emirates, Abu Dhabi</w:t>
      </w:r>
      <w:r>
        <w:br/>
      </w:r>
      <w:r>
        <w:rPr>
          <w:bCs/>
          <w:b/>
        </w:rPr>
        <w:t xml:space="preserve">Department:</w:t>
      </w:r>
      <w:r>
        <w:t xml:space="preserve"> </w:t>
      </w:r>
      <w:r>
        <w:t xml:space="preserve">Construction &amp; Material Sciences</w:t>
      </w:r>
      <w:r>
        <w:br/>
      </w:r>
      <w:r>
        <w:rPr>
          <w:bCs/>
          <w:b/>
        </w:rPr>
        <w:t xml:space="preserve">Classification:</w:t>
      </w:r>
      <w:r>
        <w:t xml:space="preserve"> </w:t>
      </w:r>
      <w:r>
        <w:t xml:space="preserve">Internal Use Only</w:t>
      </w:r>
    </w:p>
    <w:bookmarkStart w:id="31" w:name="Xab1ddfd7f59d5d07910e67eac4ada83c3819331"/>
    <w:p>
      <w:pPr>
        <w:pStyle w:val="Heading1"/>
      </w:pPr>
      <w:r>
        <w:t xml:space="preserve">Experiment Protocol: Thermal Performance and Structural Integrity of Traditional vs. Modern Carpentry Techniques in Abu Dhabi</w:t>
      </w:r>
    </w:p>
    <w:p>
      <w:pPr>
        <w:pStyle w:val="FirstParagraph"/>
      </w:pPr>
      <w:r>
        <w:rPr>
          <w:bCs/>
          <w:b/>
        </w:rPr>
        <w:t xml:space="preserve">Objective:</w:t>
      </w:r>
      <w:r>
        <w:t xml:space="preserve"> </w:t>
      </w:r>
      <w:r>
        <w:t xml:space="preserve">This Experiment Protocol outlines the methodology for evaluating the performance of carpentry techniques under the extreme climatic conditions of the United Arab Emirates, specifically within the Abu Dhabi municipality. The study aims to compare traditional joinery methods with modern composite carpentry solutions to determine optimal practices for residential and commercial construction in the region.</w:t>
      </w:r>
    </w:p>
    <w:bookmarkStart w:id="20" w:name="introduction-and-background"/>
    <w:p>
      <w:pPr>
        <w:pStyle w:val="Heading2"/>
      </w:pPr>
      <w:r>
        <w:t xml:space="preserve">1. Introduction and Background</w:t>
      </w:r>
    </w:p>
    <w:p>
      <w:pPr>
        <w:pStyle w:val="FirstParagraph"/>
      </w:pPr>
      <w:r>
        <w:t xml:space="preserve">The construction industry in the United Arab Emirates, particularly in Abu Dhabi, faces unique challenges due to the arid desert climate, characterized by high temperatures, intense solar radiation, and occasional high humidity. Carpentry, a critical component of interior finishing, cabinetry, and structural framing, must adapt to these environmental stressors. Wood and wood-based materials are susceptible to expansion, contraction, warping, and degradation when exposed to such conditions.</w:t>
      </w:r>
    </w:p>
    <w:p>
      <w:pPr>
        <w:pStyle w:val="BodyText"/>
      </w:pPr>
      <w:r>
        <w:t xml:space="preserve">This Experiment Protocol is designed to systematically test various carpentry methodologies. The focus is on assessing how different materials, adhesives, and joinery techniques perform over a six-month period in real-world Abu Dhabi environments. The results will inform best practices for carpenters operating in the UAE, ensuring durability, safety, and aesthetic longevity.</w:t>
      </w:r>
    </w:p>
    <w:bookmarkEnd w:id="20"/>
    <w:bookmarkStart w:id="21" w:name="scope-of-the-experiment"/>
    <w:p>
      <w:pPr>
        <w:pStyle w:val="Heading2"/>
      </w:pPr>
      <w:r>
        <w:t xml:space="preserve">2. Scope of the Experiment</w:t>
      </w:r>
    </w:p>
    <w:p>
      <w:pPr>
        <w:pStyle w:val="FirstParagraph"/>
      </w:pPr>
      <w:r>
        <w:t xml:space="preserve">The scope of this experiment encompasses the following key areas:</w:t>
      </w:r>
    </w:p>
    <w:p>
      <w:pPr>
        <w:numPr>
          <w:ilvl w:val="0"/>
          <w:numId w:val="1001"/>
        </w:numPr>
        <w:pStyle w:val="Compact"/>
      </w:pPr>
      <w:r>
        <w:rPr>
          <w:bCs/>
          <w:b/>
        </w:rPr>
        <w:t xml:space="preserve">Material Selection:</w:t>
      </w:r>
      <w:r>
        <w:t xml:space="preserve"> </w:t>
      </w:r>
      <w:r>
        <w:t xml:space="preserve">Evaluation of solid hardwoods (e.g., Teak, Oak), engineered woods (e.g., MDF, Plywood), and moisture-resistant composites commonly used by carpenters in Abu Dhabi.</w:t>
      </w:r>
    </w:p>
    <w:p>
      <w:pPr>
        <w:numPr>
          <w:ilvl w:val="0"/>
          <w:numId w:val="1001"/>
        </w:numPr>
        <w:pStyle w:val="Compact"/>
      </w:pPr>
      <w:r>
        <w:rPr>
          <w:bCs/>
          <w:b/>
        </w:rPr>
        <w:t xml:space="preserve">Joinery Techniques:</w:t>
      </w:r>
      <w:r>
        <w:t xml:space="preserve"> </w:t>
      </w:r>
      <w:r>
        <w:t xml:space="preserve">Comparison of traditional mortise and tenon joints, dovetail joints, and modern mechanical fastening systems.</w:t>
      </w:r>
    </w:p>
    <w:p>
      <w:pPr>
        <w:numPr>
          <w:ilvl w:val="0"/>
          <w:numId w:val="1001"/>
        </w:numPr>
        <w:pStyle w:val="Compact"/>
      </w:pPr>
      <w:r>
        <w:rPr>
          <w:bCs/>
          <w:b/>
        </w:rPr>
        <w:t xml:space="preserve">Environmental Exposure:</w:t>
      </w:r>
      <w:r>
        <w:t xml:space="preserve"> </w:t>
      </w:r>
      <w:r>
        <w:t xml:space="preserve">Testing samples in controlled indoor environments and semi-outdoor conditions typical of Abu Dhabi construction sites.</w:t>
      </w:r>
    </w:p>
    <w:p>
      <w:pPr>
        <w:numPr>
          <w:ilvl w:val="0"/>
          <w:numId w:val="1001"/>
        </w:numPr>
        <w:pStyle w:val="Compact"/>
      </w:pPr>
      <w:r>
        <w:rPr>
          <w:bCs/>
          <w:b/>
        </w:rPr>
        <w:t xml:space="preserve">Performance Metrics:</w:t>
      </w:r>
      <w:r>
        <w:t xml:space="preserve"> </w:t>
      </w:r>
      <w:r>
        <w:t xml:space="preserve">Measurement of dimensional stability, structural integrity, resistance to termites, and surface finish degradation.</w:t>
      </w:r>
    </w:p>
    <w:bookmarkEnd w:id="21"/>
    <w:bookmarkStart w:id="24" w:name="experimental-design"/>
    <w:p>
      <w:pPr>
        <w:pStyle w:val="Heading2"/>
      </w:pPr>
      <w:r>
        <w:t xml:space="preserve">3. Experimental Design</w:t>
      </w:r>
    </w:p>
    <w:bookmarkStart w:id="22" w:name="sample-preparation"/>
    <w:p>
      <w:pPr>
        <w:pStyle w:val="Heading3"/>
      </w:pPr>
      <w:r>
        <w:t xml:space="preserve">3.1. Sample Preparation</w:t>
      </w:r>
    </w:p>
    <w:p>
      <w:pPr>
        <w:pStyle w:val="FirstParagraph"/>
      </w:pPr>
      <w:r>
        <w:t xml:space="preserve">A total of 120 carpentry samples will be prepared by certified carpenters adhering to UAE construction standards. The samples will be divided into four groups: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Group</w:t>
            </w:r>
          </w:p>
        </w:tc>
        <w:tc>
          <w:tcPr/>
          <w:p>
            <w:pPr>
              <w:pStyle w:val="Compact"/>
              <w:jc w:val="left"/>
            </w:pPr>
            <w:r>
              <w:t xml:space="preserve">Material</w:t>
            </w:r>
          </w:p>
        </w:tc>
        <w:tc>
          <w:tcPr/>
          <w:p>
            <w:pPr>
              <w:pStyle w:val="Compact"/>
              <w:jc w:val="left"/>
            </w:pPr>
            <w:r>
              <w:t xml:space="preserve">Joinery Method</w:t>
            </w:r>
          </w:p>
        </w:tc>
        <w:tc>
          <w:tcPr/>
          <w:p>
            <w:pPr>
              <w:pStyle w:val="Compact"/>
              <w:jc w:val="left"/>
            </w:pPr>
            <w:r>
              <w:t xml:space="preserve">Finish</w:t>
            </w:r>
          </w:p>
        </w:tc>
      </w:tr>
      <w:tr>
        <w:tc>
          <w:tcPr/>
          <w:p>
            <w:pPr>
              <w:pStyle w:val="Compact"/>
              <w:jc w:val="left"/>
            </w:pPr>
            <w:r>
              <w:t xml:space="preserve">A</w:t>
            </w:r>
          </w:p>
        </w:tc>
        <w:tc>
          <w:tcPr/>
          <w:p>
            <w:pPr>
              <w:pStyle w:val="Compact"/>
              <w:jc w:val="left"/>
            </w:pPr>
            <w:r>
              <w:t xml:space="preserve">Solid Teak</w:t>
            </w:r>
          </w:p>
        </w:tc>
        <w:tc>
          <w:tcPr/>
          <w:p>
            <w:pPr>
              <w:pStyle w:val="Compact"/>
              <w:jc w:val="left"/>
            </w:pPr>
            <w:r>
              <w:t xml:space="preserve">Traditional Mortise &amp; Tenon</w:t>
            </w:r>
          </w:p>
        </w:tc>
        <w:tc>
          <w:tcPr/>
          <w:p>
            <w:pPr>
              <w:pStyle w:val="Compact"/>
              <w:jc w:val="left"/>
            </w:pPr>
            <w:r>
              <w:t xml:space="preserve">UV-Resistant Varnish</w:t>
            </w:r>
          </w:p>
        </w:tc>
      </w:tr>
      <w:tr>
        <w:tc>
          <w:tcPr/>
          <w:p>
            <w:pPr>
              <w:pStyle w:val="Compact"/>
              <w:jc w:val="left"/>
            </w:pPr>
            <w:r>
              <w:t xml:space="preserve">B</w:t>
            </w:r>
          </w:p>
        </w:tc>
        <w:tc>
          <w:tcPr/>
          <w:p>
            <w:pPr>
              <w:pStyle w:val="Compact"/>
              <w:jc w:val="left"/>
            </w:pPr>
            <w:r>
              <w:t xml:space="preserve">Moisture-Resistant MDF</w:t>
            </w:r>
          </w:p>
        </w:tc>
        <w:tc>
          <w:tcPr/>
          <w:p>
            <w:pPr>
              <w:pStyle w:val="Compact"/>
              <w:jc w:val="left"/>
            </w:pPr>
            <w:r>
              <w:t xml:space="preserve">Modern Cam Lock System</w:t>
            </w:r>
          </w:p>
        </w:tc>
        <w:tc>
          <w:tcPr/>
          <w:p>
            <w:pPr>
              <w:pStyle w:val="Compact"/>
              <w:jc w:val="left"/>
            </w:pPr>
            <w:r>
              <w:t xml:space="preserve">Laminate Coating</w:t>
            </w:r>
          </w:p>
        </w:tc>
      </w:tr>
      <w:tr>
        <w:tc>
          <w:tcPr/>
          <w:p>
            <w:pPr>
              <w:pStyle w:val="Compact"/>
              <w:jc w:val="left"/>
            </w:pPr>
            <w:r>
              <w:t xml:space="preserve">C</w:t>
            </w:r>
          </w:p>
        </w:tc>
        <w:tc>
          <w:tcPr/>
          <w:p>
            <w:pPr>
              <w:pStyle w:val="Compact"/>
              <w:jc w:val="left"/>
            </w:pPr>
            <w:r>
              <w:t xml:space="preserve">Marine-Grade Plywood</w:t>
            </w:r>
          </w:p>
        </w:tc>
        <w:tc>
          <w:tcPr/>
          <w:p>
            <w:pPr>
              <w:pStyle w:val="Compact"/>
              <w:jc w:val="left"/>
            </w:pPr>
            <w:r>
              <w:t xml:space="preserve">Dovetail Joints</w:t>
            </w:r>
          </w:p>
        </w:tc>
        <w:tc>
          <w:tcPr/>
          <w:p>
            <w:pPr>
              <w:pStyle w:val="Compact"/>
              <w:jc w:val="left"/>
            </w:pPr>
            <w:r>
              <w:t xml:space="preserve">Acrylic Sealant</w:t>
            </w:r>
          </w:p>
        </w:tc>
      </w:tr>
      <w:tr>
        <w:tc>
          <w:tcPr/>
          <w:p>
            <w:pPr>
              <w:pStyle w:val="Compact"/>
              <w:jc w:val="left"/>
            </w:pPr>
            <w:r>
              <w:t xml:space="preserve">D</w:t>
            </w:r>
          </w:p>
        </w:tc>
        <w:tc>
          <w:tcPr/>
          <w:p>
            <w:pPr>
              <w:pStyle w:val="Compact"/>
              <w:jc w:val="left"/>
            </w:pPr>
            <w:r>
              <w:t xml:space="preserve">Composite Wood Plastic</w:t>
            </w:r>
          </w:p>
        </w:tc>
        <w:tc>
          <w:tcPr/>
          <w:p>
            <w:pPr>
              <w:pStyle w:val="Compact"/>
              <w:jc w:val="left"/>
            </w:pPr>
            <w:r>
              <w:t xml:space="preserve">Screw and Adhesive</w:t>
            </w:r>
          </w:p>
        </w:tc>
        <w:tc>
          <w:tcPr/>
          <w:p>
            <w:pPr>
              <w:pStyle w:val="Compact"/>
              <w:jc w:val="left"/>
            </w:pPr>
            <w:r>
              <w:t xml:space="preserve">Factory Finish</w:t>
            </w:r>
          </w:p>
        </w:tc>
      </w:tr>
    </w:tbl>
    <w:bookmarkEnd w:id="22"/>
    <w:bookmarkStart w:id="23" w:name="location-and-environmental-conditions"/>
    <w:p>
      <w:pPr>
        <w:pStyle w:val="Heading3"/>
      </w:pPr>
      <w:r>
        <w:t xml:space="preserve">3.2. Location and Environmental Conditions</w:t>
      </w:r>
    </w:p>
    <w:p>
      <w:pPr>
        <w:pStyle w:val="FirstParagraph"/>
      </w:pPr>
      <w:r>
        <w:t xml:space="preserve">The experiment will be conducted at a designated testing facility in Abu Dhabi, United Arab Emirates. The facility will simulate typical indoor and outdoor conditions found in residential and commercial buildings. Key environmental parameters include:</w:t>
      </w:r>
    </w:p>
    <w:p>
      <w:pPr>
        <w:numPr>
          <w:ilvl w:val="0"/>
          <w:numId w:val="1002"/>
        </w:numPr>
        <w:pStyle w:val="Compact"/>
      </w:pPr>
      <w:r>
        <w:rPr>
          <w:bCs/>
          <w:b/>
        </w:rPr>
        <w:t xml:space="preserve">Temperature:</w:t>
      </w:r>
      <w:r>
        <w:t xml:space="preserve"> </w:t>
      </w:r>
      <w:r>
        <w:t xml:space="preserve">Ranging from 25°C to 45°C (indoor) and up to 50°C (outdoor).</w:t>
      </w:r>
    </w:p>
    <w:p>
      <w:pPr>
        <w:numPr>
          <w:ilvl w:val="0"/>
          <w:numId w:val="1002"/>
        </w:numPr>
        <w:pStyle w:val="Compact"/>
      </w:pPr>
      <w:r>
        <w:rPr>
          <w:bCs/>
          <w:b/>
        </w:rPr>
        <w:t xml:space="preserve">Humidity:</w:t>
      </w:r>
      <w:r>
        <w:t xml:space="preserve"> </w:t>
      </w:r>
      <w:r>
        <w:t xml:space="preserve">Fluctuating between 20% and 70% relative humidity.</w:t>
      </w:r>
    </w:p>
    <w:p>
      <w:pPr>
        <w:numPr>
          <w:ilvl w:val="0"/>
          <w:numId w:val="1002"/>
        </w:numPr>
        <w:pStyle w:val="Compact"/>
      </w:pPr>
      <w:r>
        <w:rPr>
          <w:bCs/>
          <w:b/>
        </w:rPr>
        <w:t xml:space="preserve">Solar Radiation:</w:t>
      </w:r>
      <w:r>
        <w:t xml:space="preserve"> </w:t>
      </w:r>
      <w:r>
        <w:t xml:space="preserve">Direct exposure for outdoor samples.</w:t>
      </w:r>
    </w:p>
    <w:bookmarkEnd w:id="23"/>
    <w:bookmarkEnd w:id="24"/>
    <w:bookmarkStart w:id="28" w:name="methodology"/>
    <w:p>
      <w:pPr>
        <w:pStyle w:val="Heading2"/>
      </w:pPr>
      <w:r>
        <w:t xml:space="preserve">4. Methodology</w:t>
      </w:r>
    </w:p>
    <w:bookmarkStart w:id="25" w:name="installation-and-monitoring"/>
    <w:p>
      <w:pPr>
        <w:pStyle w:val="Heading3"/>
      </w:pPr>
      <w:r>
        <w:t xml:space="preserve">4.1. Installation and Monitoring</w:t>
      </w:r>
    </w:p>
    <w:p>
      <w:pPr>
        <w:pStyle w:val="FirstParagraph"/>
      </w:pPr>
      <w:r>
        <w:t xml:space="preserve">Samples will be installed in the testing facility on Day 1. Each sample will be equipped with sensors to monitor temperature, humidity, and dimensional changes. Data will be collected daily for the first month and weekly thereafter.</w:t>
      </w:r>
    </w:p>
    <w:bookmarkEnd w:id="25"/>
    <w:bookmarkStart w:id="26" w:name="inspection-schedule"/>
    <w:p>
      <w:pPr>
        <w:pStyle w:val="Heading3"/>
      </w:pPr>
      <w:r>
        <w:t xml:space="preserve">4.2. Inspection Schedule</w:t>
      </w:r>
    </w:p>
    <w:p>
      <w:pPr>
        <w:pStyle w:val="FirstParagraph"/>
      </w:pPr>
      <w:r>
        <w:t xml:space="preserve">Regular inspections will be conducted by a team of qualified carpenters and engineers. The inspection schedule is as follows:</w:t>
      </w:r>
    </w:p>
    <w:p>
      <w:pPr>
        <w:numPr>
          <w:ilvl w:val="0"/>
          <w:numId w:val="1003"/>
        </w:numPr>
        <w:pStyle w:val="Compact"/>
      </w:pPr>
      <w:r>
        <w:rPr>
          <w:bCs/>
          <w:b/>
        </w:rPr>
        <w:t xml:space="preserve">Baseline Inspection:</w:t>
      </w:r>
      <w:r>
        <w:t xml:space="preserve"> </w:t>
      </w:r>
      <w:r>
        <w:t xml:space="preserve">Day 1 (Initial measurements and documentation).</w:t>
      </w:r>
    </w:p>
    <w:p>
      <w:pPr>
        <w:numPr>
          <w:ilvl w:val="0"/>
          <w:numId w:val="1003"/>
        </w:numPr>
        <w:pStyle w:val="Compact"/>
      </w:pPr>
      <w:r>
        <w:rPr>
          <w:bCs/>
          <w:b/>
        </w:rPr>
        <w:t xml:space="preserve">Monthly Inspections:</w:t>
      </w:r>
      <w:r>
        <w:t xml:space="preserve"> </w:t>
      </w:r>
      <w:r>
        <w:t xml:space="preserve">Months 1, 2, 3, 4, 5, and 6 (Visual assessment, dimensional checks, and structural tests).</w:t>
      </w:r>
    </w:p>
    <w:p>
      <w:pPr>
        <w:numPr>
          <w:ilvl w:val="0"/>
          <w:numId w:val="1003"/>
        </w:numPr>
        <w:pStyle w:val="Compact"/>
      </w:pPr>
      <w:r>
        <w:rPr>
          <w:bCs/>
          <w:b/>
        </w:rPr>
        <w:t xml:space="preserve">Final Evaluation:</w:t>
      </w:r>
      <w:r>
        <w:t xml:space="preserve"> </w:t>
      </w:r>
      <w:r>
        <w:t xml:space="preserve">End of Month 6 (Comprehensive analysis and reporting).</w:t>
      </w:r>
    </w:p>
    <w:bookmarkEnd w:id="26"/>
    <w:bookmarkStart w:id="27" w:name="performance-criteria"/>
    <w:p>
      <w:pPr>
        <w:pStyle w:val="Heading3"/>
      </w:pPr>
      <w:r>
        <w:t xml:space="preserve">4.3. Performance Criteria</w:t>
      </w:r>
    </w:p>
    <w:p>
      <w:pPr>
        <w:pStyle w:val="FirstParagraph"/>
      </w:pPr>
      <w:r>
        <w:t xml:space="preserve">The following criteria will be used to evaluate the performance of each sample:</w:t>
      </w:r>
    </w:p>
    <w:p>
      <w:pPr>
        <w:numPr>
          <w:ilvl w:val="0"/>
          <w:numId w:val="1004"/>
        </w:numPr>
        <w:pStyle w:val="Compact"/>
      </w:pPr>
      <w:r>
        <w:rPr>
          <w:bCs/>
          <w:b/>
        </w:rPr>
        <w:t xml:space="preserve">Dimensional Stability:</w:t>
      </w:r>
      <w:r>
        <w:t xml:space="preserve"> </w:t>
      </w:r>
      <w:r>
        <w:t xml:space="preserve">Percentage change in length, width, and thickness.</w:t>
      </w:r>
    </w:p>
    <w:p>
      <w:pPr>
        <w:numPr>
          <w:ilvl w:val="0"/>
          <w:numId w:val="1004"/>
        </w:numPr>
        <w:pStyle w:val="Compact"/>
      </w:pPr>
      <w:r>
        <w:rPr>
          <w:bCs/>
          <w:b/>
        </w:rPr>
        <w:t xml:space="preserve">Structural Integrity:</w:t>
      </w:r>
      <w:r>
        <w:t xml:space="preserve"> </w:t>
      </w:r>
      <w:r>
        <w:t xml:space="preserve">Resistance to load-bearing stress and joint failure.</w:t>
      </w:r>
    </w:p>
    <w:p>
      <w:pPr>
        <w:numPr>
          <w:ilvl w:val="0"/>
          <w:numId w:val="1004"/>
        </w:numPr>
        <w:pStyle w:val="Compact"/>
      </w:pPr>
      <w:r>
        <w:rPr>
          <w:bCs/>
          <w:b/>
        </w:rPr>
        <w:t xml:space="preserve">Surface Quality:</w:t>
      </w:r>
      <w:r>
        <w:t xml:space="preserve"> </w:t>
      </w:r>
      <w:r>
        <w:t xml:space="preserve">Presence of cracks, warping, discoloration, or finish peeling.</w:t>
      </w:r>
    </w:p>
    <w:p>
      <w:pPr>
        <w:numPr>
          <w:ilvl w:val="0"/>
          <w:numId w:val="1004"/>
        </w:numPr>
        <w:pStyle w:val="Compact"/>
      </w:pPr>
      <w:r>
        <w:rPr>
          <w:bCs/>
          <w:b/>
        </w:rPr>
        <w:t xml:space="preserve">Pest Resistance:</w:t>
      </w:r>
      <w:r>
        <w:t xml:space="preserve"> </w:t>
      </w:r>
      <w:r>
        <w:t xml:space="preserve">Evidence of termite or insect infestation.</w:t>
      </w:r>
    </w:p>
    <w:p>
      <w:pPr>
        <w:pStyle w:val="FirstParagraph"/>
      </w:pPr>
      <w:r>
        <w:rPr>
          <w:bCs/>
          <w:b/>
        </w:rPr>
        <w:t xml:space="preserve">Safety Precautions:</w:t>
      </w:r>
      <w:r>
        <w:t xml:space="preserve"> </w:t>
      </w:r>
      <w:r>
        <w:t xml:space="preserve">All personnel involved in this experiment must adhere to the Occupational Safety and Health Administration (OSHA) guidelines and local UAE safety regulations. Personal protective equipment (PPE), including safety glasses, gloves, and dust masks, must be worn at all times during sample preparation and inspection.</w:t>
      </w:r>
    </w:p>
    <w:bookmarkEnd w:id="27"/>
    <w:bookmarkEnd w:id="28"/>
    <w:bookmarkStart w:id="29" w:name="data-analysis-and-reporting"/>
    <w:p>
      <w:pPr>
        <w:pStyle w:val="Heading2"/>
      </w:pPr>
      <w:r>
        <w:t xml:space="preserve">5. Data Analysis and Reporting</w:t>
      </w:r>
    </w:p>
    <w:p>
      <w:pPr>
        <w:pStyle w:val="FirstParagraph"/>
      </w:pPr>
      <w:r>
        <w:t xml:space="preserve">Collected data will be analyzed using statistical methods to determine significant differences between the groups. The results will be compiled into a comprehensive report detailing the performance of each carpentry technique under Abu Dhabi's climatic conditions. Recommendations for best practices will be provided based on the findings.</w:t>
      </w:r>
    </w:p>
    <w:p>
      <w:pPr>
        <w:pStyle w:val="BodyText"/>
      </w:pPr>
      <w:r>
        <w:t xml:space="preserve">The final report will include:</w:t>
      </w:r>
    </w:p>
    <w:p>
      <w:pPr>
        <w:numPr>
          <w:ilvl w:val="0"/>
          <w:numId w:val="1005"/>
        </w:numPr>
        <w:pStyle w:val="Compact"/>
      </w:pPr>
      <w:r>
        <w:t xml:space="preserve">Summary of experimental procedures.</w:t>
      </w:r>
    </w:p>
    <w:p>
      <w:pPr>
        <w:numPr>
          <w:ilvl w:val="0"/>
          <w:numId w:val="1005"/>
        </w:numPr>
        <w:pStyle w:val="Compact"/>
      </w:pPr>
      <w:r>
        <w:t xml:space="preserve">Detailed data tables and graphs.</w:t>
      </w:r>
    </w:p>
    <w:p>
      <w:pPr>
        <w:numPr>
          <w:ilvl w:val="0"/>
          <w:numId w:val="1005"/>
        </w:numPr>
        <w:pStyle w:val="Compact"/>
      </w:pPr>
      <w:r>
        <w:t xml:space="preserve">Photographic evidence of sample conditions.</w:t>
      </w:r>
    </w:p>
    <w:p>
      <w:pPr>
        <w:numPr>
          <w:ilvl w:val="0"/>
          <w:numId w:val="1005"/>
        </w:numPr>
        <w:pStyle w:val="Compact"/>
      </w:pPr>
      <w:r>
        <w:t xml:space="preserve">Conclusions and recommendations for carpenters and construction professionals in the United Arab Emirates.</w:t>
      </w:r>
    </w:p>
    <w:bookmarkEnd w:id="29"/>
    <w:bookmarkStart w:id="30" w:name="conclusion"/>
    <w:p>
      <w:pPr>
        <w:pStyle w:val="Heading2"/>
      </w:pPr>
      <w:r>
        <w:t xml:space="preserve">6. Conclusion</w:t>
      </w:r>
    </w:p>
    <w:p>
      <w:pPr>
        <w:pStyle w:val="FirstParagraph"/>
      </w:pPr>
      <w:r>
        <w:t xml:space="preserve">This Experiment Protocol provides a structured approach to evaluating carpentry techniques in the challenging environment of Abu Dhabi. By systematically testing various materials and methods, this study aims to enhance the quality and durability of carpentry work in the region. The findings will contribute to the development of industry standards and best practices, ultimately benefiting the construction sector in the United Arab Emirates.</w:t>
      </w:r>
    </w:p>
    <w:p>
      <w:pPr>
        <w:pStyle w:val="BodyText"/>
      </w:pPr>
      <w:r>
        <w:rPr>
          <w:bCs/>
          <w:b/>
        </w:rPr>
        <w:t xml:space="preserve">Prepared By:</w:t>
      </w:r>
      <w:r>
        <w:br/>
      </w:r>
      <w:r>
        <w:t xml:space="preserve">[Name]</w:t>
      </w:r>
      <w:r>
        <w:br/>
      </w:r>
      <w:r>
        <w:t xml:space="preserve">Lead Researcher</w:t>
      </w:r>
      <w:r>
        <w:br/>
      </w:r>
      <w:r>
        <w:t xml:space="preserve">Date: _______________</w:t>
      </w:r>
    </w:p>
    <w:p>
      <w:pPr>
        <w:pStyle w:val="BodyText"/>
      </w:pPr>
      <w:r>
        <w:rPr>
          <w:bCs/>
          <w:b/>
        </w:rPr>
        <w:t xml:space="preserve">Approved By:</w:t>
      </w:r>
      <w:r>
        <w:br/>
      </w:r>
      <w:r>
        <w:t xml:space="preserve">[Name]</w:t>
      </w:r>
      <w:r>
        <w:br/>
      </w:r>
      <w:r>
        <w:t xml:space="preserve">Project Director</w:t>
      </w:r>
      <w:r>
        <w:br/>
      </w: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Abu Dhabi</dc:title>
  <dc:creator/>
  <dc:language>en</dc:language>
  <cp:keywords/>
  <dcterms:created xsi:type="dcterms:W3CDTF">2026-10-10T02:34:13Z</dcterms:created>
  <dcterms:modified xsi:type="dcterms:W3CDTF">2026-10-10T02:34:13Z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