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Dubai</w:t>
      </w:r>
    </w:p>
    <w:bookmarkStart w:id="20" w:name="X73989baf2a4ed7a3f540fe29688ebf580f55c4e"/>
    <w:p>
      <w:pPr>
        <w:pStyle w:val="Heading1"/>
      </w:pPr>
      <w:r>
        <w:t xml:space="preserve">Experiment Protocol: Thermal Performance and Structural Integrity of Sustainable Carpentry in Arid Climates</w:t>
      </w:r>
    </w:p>
    <w:p>
      <w:pPr>
        <w:pStyle w:val="FirstParagraph"/>
      </w:pPr>
      <w:r>
        <w:rPr>
          <w:bCs/>
          <w:b/>
        </w:rPr>
        <w:t xml:space="preserve">Project Title:</w:t>
      </w:r>
      <w:r>
        <w:t xml:space="preserve"> </w:t>
      </w:r>
      <w:r>
        <w:t xml:space="preserve">Evaluation of Modern Joinery Techniques for High-Humidity and High-Temperature Environments</w:t>
      </w:r>
    </w:p>
    <w:p>
      <w:pPr>
        <w:pStyle w:val="BodyText"/>
      </w:pPr>
      <w:r>
        <w:rPr>
          <w:bCs/>
          <w:b/>
        </w:rPr>
        <w:t xml:space="preserve">Location:</w:t>
      </w:r>
      <w:r>
        <w:t xml:space="preserve"> </w:t>
      </w:r>
      <w:r>
        <w:t xml:space="preserve">United Arab Emirates, Dubai</w:t>
      </w:r>
    </w:p>
    <w:p>
      <w:pPr>
        <w:pStyle w:val="BodyText"/>
      </w:pPr>
      <w:r>
        <w:rPr>
          <w:bCs/>
          <w:b/>
        </w:rPr>
        <w:t xml:space="preserve">Discipline:</w:t>
      </w:r>
      <w:r>
        <w:t xml:space="preserve"> </w:t>
      </w:r>
      <w:r>
        <w:t xml:space="preserve">Carpentry and Wood Science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The construction industry in the United Arab Emirates, specifically within Dubai, is characterized by rapid development and a demand for high-quality, sustainable materials. While steel and concrete dominate the skyline, the role of the carpenter remains critical in interior fit-outs, facade cladding, and specialized architectural joinery. However, the extreme environmental conditions of Dubai—specifically high ambient temperatures, intense solar radiation, and high humidity during summer months—pose significant challenges to traditional woodwork.</w:t>
      </w:r>
    </w:p>
    <w:p>
      <w:pPr>
        <w:pStyle w:val="BodyText"/>
      </w:pPr>
      <w:r>
        <w:t xml:space="preserve">This Experiment Protocol outlines a rigorous testing procedure designed to evaluate the performance of advanced carpentry techniques and engineered wood products under simulated Dubai environmental conditions. The primary objective is to determine the dimensional stability, thermal expansion rates, and structural integrity of various joinery methods when subjected to the specific climatic stressors found in the UAE. This data will inform best practices for carpenters working on luxury residential and commercial projects in the region.</w:t>
      </w:r>
    </w:p>
    <w:bookmarkEnd w:id="21"/>
    <w:bookmarkStart w:id="22" w:name="scope-and-methodology"/>
    <w:p>
      <w:pPr>
        <w:pStyle w:val="Heading2"/>
      </w:pPr>
      <w:r>
        <w:t xml:space="preserve">2. Scope and Methodology</w:t>
      </w:r>
    </w:p>
    <w:p>
      <w:pPr>
        <w:pStyle w:val="FirstParagraph"/>
      </w:pPr>
      <w:r>
        <w:t xml:space="preserve">This experiment focuses on three distinct areas of carpentry:</w:t>
      </w:r>
    </w:p>
    <w:p>
      <w:pPr>
        <w:numPr>
          <w:ilvl w:val="0"/>
          <w:numId w:val="1001"/>
        </w:numPr>
        <w:pStyle w:val="Compact"/>
      </w:pPr>
      <w:r>
        <w:rPr>
          <w:bCs/>
          <w:b/>
        </w:rPr>
        <w:t xml:space="preserve">Material Selection:</w:t>
      </w:r>
      <w:r>
        <w:t xml:space="preserve"> </w:t>
      </w:r>
      <w:r>
        <w:t xml:space="preserve">Comparing solid hardwoods (Teak, Iroko) against engineered wood products (High-Pressure Laminate, Plywood) commonly used in Dubai construction.</w:t>
      </w:r>
    </w:p>
    <w:p>
      <w:pPr>
        <w:numPr>
          <w:ilvl w:val="0"/>
          <w:numId w:val="1001"/>
        </w:numPr>
        <w:pStyle w:val="Compact"/>
      </w:pPr>
      <w:r>
        <w:rPr>
          <w:bCs/>
          <w:b/>
        </w:rPr>
        <w:t xml:space="preserve">Joinery Techniques:</w:t>
      </w:r>
      <w:r>
        <w:t xml:space="preserve"> </w:t>
      </w:r>
      <w:r>
        <w:t xml:space="preserve">Assessing the failure points of traditional mortise and tenon joints versus modern mechanical fastening systems under thermal stress.</w:t>
      </w:r>
    </w:p>
    <w:p>
      <w:pPr>
        <w:numPr>
          <w:ilvl w:val="0"/>
          <w:numId w:val="1001"/>
        </w:numPr>
        <w:pStyle w:val="Compact"/>
      </w:pPr>
      <w:r>
        <w:rPr>
          <w:bCs/>
          <w:b/>
        </w:rPr>
        <w:t xml:space="preserve">Finishing Systems:</w:t>
      </w:r>
      <w:r>
        <w:t xml:space="preserve"> </w:t>
      </w:r>
      <w:r>
        <w:t xml:space="preserve">Evaluating the durability of UV-resistant coatings and sealants against the intense solar exposure typical of the UAE.</w:t>
      </w:r>
    </w:p>
    <w:p>
      <w:pPr>
        <w:pStyle w:val="FirstParagraph"/>
      </w:pPr>
      <w:r>
        <w:t xml:space="preserve">The experiment will be conducted in a controlled environmental chamber capable of replicating the temperature and humidity cycles of Dubai, ranging from 15°C with low humidity in winter to 45°C with 80% relative humidity in summer.</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Wood Samples</w:t>
            </w:r>
          </w:p>
        </w:tc>
        <w:tc>
          <w:tcPr/>
          <w:p>
            <w:pPr>
              <w:pStyle w:val="Compact"/>
              <w:jc w:val="left"/>
            </w:pPr>
            <w:r>
              <w:t xml:space="preserve">Grade A Teak, Marine Plywood, MDF (Moisture Resistant)</w:t>
            </w:r>
          </w:p>
        </w:tc>
        <w:tc>
          <w:tcPr/>
          <w:p>
            <w:pPr>
              <w:pStyle w:val="Compact"/>
              <w:jc w:val="left"/>
            </w:pPr>
            <w:r>
              <w:t xml:space="preserve">50 units each</w:t>
            </w:r>
          </w:p>
        </w:tc>
      </w:tr>
      <w:tr>
        <w:tc>
          <w:tcPr/>
          <w:p>
            <w:pPr>
              <w:pStyle w:val="Compact"/>
              <w:jc w:val="left"/>
            </w:pPr>
            <w:r>
              <w:t xml:space="preserve">Fasteners</w:t>
            </w:r>
          </w:p>
        </w:tc>
        <w:tc>
          <w:tcPr/>
          <w:p>
            <w:pPr>
              <w:pStyle w:val="Compact"/>
              <w:jc w:val="left"/>
            </w:pPr>
            <w:r>
              <w:t xml:space="preserve">Stainless Steel 316 (Corrosion Resistant for UAE)</w:t>
            </w:r>
          </w:p>
        </w:tc>
        <w:tc>
          <w:tcPr/>
          <w:p>
            <w:pPr>
              <w:pStyle w:val="Compact"/>
              <w:jc w:val="left"/>
            </w:pPr>
            <w:r>
              <w:t xml:space="preserve">500 units</w:t>
            </w:r>
          </w:p>
        </w:tc>
      </w:tr>
      <w:tr>
        <w:tc>
          <w:tcPr/>
          <w:p>
            <w:pPr>
              <w:pStyle w:val="Compact"/>
              <w:jc w:val="left"/>
            </w:pPr>
            <w:r>
              <w:t xml:space="preserve">Environmental Chamber</w:t>
            </w:r>
          </w:p>
        </w:tc>
        <w:tc>
          <w:tcPr/>
          <w:p>
            <w:pPr>
              <w:pStyle w:val="Compact"/>
              <w:jc w:val="left"/>
            </w:pPr>
            <w:r>
              <w:t xml:space="preserve">Range: -10°C to 60°C; Humidity: 10% to 95% RH</w:t>
            </w:r>
          </w:p>
        </w:tc>
        <w:tc>
          <w:tcPr/>
          <w:p>
            <w:pPr>
              <w:pStyle w:val="Compact"/>
              <w:jc w:val="left"/>
            </w:pPr>
            <w:r>
              <w:t xml:space="preserve">1 unit</w:t>
            </w:r>
          </w:p>
        </w:tc>
      </w:tr>
      <w:tr>
        <w:tc>
          <w:tcPr/>
          <w:p>
            <w:pPr>
              <w:pStyle w:val="Compact"/>
              <w:jc w:val="left"/>
            </w:pPr>
            <w:r>
              <w:t xml:space="preserve">Measurement Tools</w:t>
            </w:r>
          </w:p>
        </w:tc>
        <w:tc>
          <w:tcPr/>
          <w:p>
            <w:pPr>
              <w:pStyle w:val="Compact"/>
              <w:jc w:val="left"/>
            </w:pPr>
            <w:r>
              <w:t xml:space="preserve">Digital Calipers, Moisture Meters, Load Cells</w:t>
            </w:r>
          </w:p>
        </w:tc>
        <w:tc>
          <w:tcPr/>
          <w:p>
            <w:pPr>
              <w:pStyle w:val="Compact"/>
              <w:jc w:val="left"/>
            </w:pPr>
            <w:r>
              <w:t xml:space="preserve">As required</w:t>
            </w:r>
          </w:p>
        </w:tc>
      </w:tr>
    </w:tbl>
    <w:bookmarkEnd w:id="23"/>
    <w:bookmarkStart w:id="27" w:name="experimental-procedure"/>
    <w:p>
      <w:pPr>
        <w:pStyle w:val="Heading2"/>
      </w:pPr>
      <w:r>
        <w:t xml:space="preserve">4. Experimental Procedure</w:t>
      </w:r>
    </w:p>
    <w:bookmarkStart w:id="24" w:name="sample-preparation"/>
    <w:p>
      <w:pPr>
        <w:pStyle w:val="Heading3"/>
      </w:pPr>
      <w:r>
        <w:t xml:space="preserve">4.1 Sample Preparation</w:t>
      </w:r>
    </w:p>
    <w:p>
      <w:pPr>
        <w:pStyle w:val="FirstParagraph"/>
      </w:pPr>
      <w:r>
        <w:t xml:space="preserve">All carpentry samples must be acclimatized to standard room temperature (25°C) for 48 hours prior to testing. Samples will be fabricated by certified carpenters using standard tools and techniques approved by Dubai Municipality building codes. Each sample will be labeled with a unique identifier tracking the material type, joinery method, and finish applied.</w:t>
      </w:r>
    </w:p>
    <w:bookmarkEnd w:id="24"/>
    <w:bookmarkStart w:id="25" w:name="environmental-simulation"/>
    <w:p>
      <w:pPr>
        <w:pStyle w:val="Heading3"/>
      </w:pPr>
      <w:r>
        <w:t xml:space="preserve">4.2 Environmental Simulation</w:t>
      </w:r>
    </w:p>
    <w:p>
      <w:pPr>
        <w:pStyle w:val="FirstParagraph"/>
      </w:pPr>
      <w:r>
        <w:t xml:space="preserve">The samples will be placed in the environmental chamber. The chamber will cycle through a 12-week program simulating one year of Dubai weather.</w:t>
      </w:r>
    </w:p>
    <w:p>
      <w:pPr>
        <w:numPr>
          <w:ilvl w:val="0"/>
          <w:numId w:val="1002"/>
        </w:numPr>
        <w:pStyle w:val="Compact"/>
      </w:pPr>
      <w:r>
        <w:rPr>
          <w:bCs/>
          <w:b/>
        </w:rPr>
        <w:t xml:space="preserve">Phase 1 (Summer Simulation):</w:t>
      </w:r>
      <w:r>
        <w:t xml:space="preserve"> </w:t>
      </w:r>
      <w:r>
        <w:t xml:space="preserve">45°C, 80% Relative Humidity for 8 hours, followed by 35°C, 60% Relative Humidity for 16 hours.</w:t>
      </w:r>
    </w:p>
    <w:p>
      <w:pPr>
        <w:numPr>
          <w:ilvl w:val="0"/>
          <w:numId w:val="1002"/>
        </w:numPr>
        <w:pStyle w:val="Compact"/>
      </w:pPr>
      <w:r>
        <w:rPr>
          <w:bCs/>
          <w:b/>
        </w:rPr>
        <w:t xml:space="preserve">Phase 2 (Winter Simulation):</w:t>
      </w:r>
      <w:r>
        <w:t xml:space="preserve"> </w:t>
      </w:r>
      <w:r>
        <w:t xml:space="preserve">20°C, 30% Relative Humidity for 24 hours.</w:t>
      </w:r>
    </w:p>
    <w:p>
      <w:pPr>
        <w:pStyle w:val="FirstParagraph"/>
      </w:pPr>
      <w:r>
        <w:t xml:space="preserve">This cycle will repeat continuously. Measurements will be taken at weekly intervals.</w:t>
      </w:r>
    </w:p>
    <w:bookmarkEnd w:id="25"/>
    <w:bookmarkStart w:id="26" w:name="data-collection"/>
    <w:p>
      <w:pPr>
        <w:pStyle w:val="Heading3"/>
      </w:pPr>
      <w:r>
        <w:t xml:space="preserve">4.3 Data Collection</w:t>
      </w:r>
    </w:p>
    <w:p>
      <w:pPr>
        <w:pStyle w:val="FirstParagraph"/>
      </w:pPr>
      <w:r>
        <w:t xml:space="preserve">During each interval, the following metrics will be recorded:</w:t>
      </w:r>
    </w:p>
    <w:p>
      <w:pPr>
        <w:numPr>
          <w:ilvl w:val="0"/>
          <w:numId w:val="1003"/>
        </w:numPr>
        <w:pStyle w:val="Compact"/>
      </w:pPr>
      <w:r>
        <w:rPr>
          <w:bCs/>
          <w:b/>
        </w:rPr>
        <w:t xml:space="preserve">Dimensional Change:</w:t>
      </w:r>
      <w:r>
        <w:t xml:space="preserve"> </w:t>
      </w:r>
      <w:r>
        <w:t xml:space="preserve">Expansion and contraction in length, width, and thickness.</w:t>
      </w:r>
    </w:p>
    <w:p>
      <w:pPr>
        <w:numPr>
          <w:ilvl w:val="0"/>
          <w:numId w:val="1003"/>
        </w:numPr>
        <w:pStyle w:val="Compact"/>
      </w:pPr>
      <w:r>
        <w:rPr>
          <w:bCs/>
          <w:b/>
        </w:rPr>
        <w:t xml:space="preserve">Joint Integrity:</w:t>
      </w:r>
      <w:r>
        <w:t xml:space="preserve"> </w:t>
      </w:r>
      <w:r>
        <w:t xml:space="preserve">Visual inspection for gaps, splitting, or fastener loosening.</w:t>
      </w:r>
    </w:p>
    <w:p>
      <w:pPr>
        <w:numPr>
          <w:ilvl w:val="0"/>
          <w:numId w:val="1003"/>
        </w:numPr>
        <w:pStyle w:val="Compact"/>
      </w:pPr>
      <w:r>
        <w:rPr>
          <w:bCs/>
          <w:b/>
        </w:rPr>
        <w:t xml:space="preserve">Surface Degradation:</w:t>
      </w:r>
      <w:r>
        <w:t xml:space="preserve"> </w:t>
      </w:r>
      <w:r>
        <w:t xml:space="preserve">Checking for warping, cracking, or finish peeling.</w:t>
      </w:r>
    </w:p>
    <w:bookmarkEnd w:id="26"/>
    <w:bookmarkEnd w:id="27"/>
    <w:bookmarkStart w:id="28" w:name="safety-and-compliance"/>
    <w:p>
      <w:pPr>
        <w:pStyle w:val="Heading2"/>
      </w:pPr>
      <w:r>
        <w:t xml:space="preserve">5. Safety and Compliance</w:t>
      </w:r>
    </w:p>
    <w:p>
      <w:pPr>
        <w:pStyle w:val="FirstParagraph"/>
      </w:pPr>
      <w:r>
        <w:t xml:space="preserve">This experiment must adhere to the safety regulations set forth by the Dubai Municipality and the UAE Ministry of Human Resources and Emiratisation.</w:t>
      </w:r>
    </w:p>
    <w:p>
      <w:pPr>
        <w:pStyle w:val="BodyText"/>
      </w:pPr>
      <w:r>
        <w:rPr>
          <w:bCs/>
          <w:b/>
        </w:rPr>
        <w:t xml:space="preserve">Safety Note:</w:t>
      </w:r>
      <w:r>
        <w:t xml:space="preserve"> </w:t>
      </w:r>
      <w:r>
        <w:t xml:space="preserve">All personnel handling wood dust must wear appropriate respiratory protection (N95 masks or higher) to prevent respiratory issues. Eye protection and hearing protection are mandatory when operating power tools during sample preparation.</w:t>
      </w:r>
    </w:p>
    <w:p>
      <w:pPr>
        <w:pStyle w:val="BodyText"/>
      </w:pPr>
      <w:r>
        <w:t xml:space="preserve">Furthermore, all waste materials generated during the experiment must be disposed of in accordance with Dubai's environmental sustainability guidelines.</w:t>
      </w:r>
    </w:p>
    <w:bookmarkEnd w:id="28"/>
    <w:bookmarkStart w:id="29" w:name="expected-outcomes-and-application"/>
    <w:p>
      <w:pPr>
        <w:pStyle w:val="Heading2"/>
      </w:pPr>
      <w:r>
        <w:t xml:space="preserve">6. Expected Outcomes and Application</w:t>
      </w:r>
    </w:p>
    <w:p>
      <w:pPr>
        <w:pStyle w:val="FirstParagraph"/>
      </w:pPr>
      <w:r>
        <w:t xml:space="preserve">It is anticipated that this experiment will provide critical data for carpenters and architects working in the United Arab Emirates. Specifically, we expect to identify which engineered wood products offer the best resistance to the high humidity of the Dubai summer. The results will help establish a new standard for joinery in the region, reducing maintenance costs and extending the lifespan of wooden structures in harsh climates.</w:t>
      </w:r>
    </w:p>
    <w:p>
      <w:pPr>
        <w:pStyle w:val="BodyText"/>
      </w:pPr>
      <w:r>
        <w:t xml:space="preserve">By understanding how different carpentry techniques react to the specific environmental conditions of Dubai, professionals can make informed decisions that enhance both the aesthetic and functional quality of their work. This protocol serves as a foundational step toward more resilient and sustainable construction practices in the UAE.</w:t>
      </w:r>
    </w:p>
    <w:bookmarkEnd w:id="29"/>
    <w:p>
      <w:pPr>
        <w:pStyle w:val="BodyText"/>
      </w:pPr>
      <w:r>
        <w:rPr>
          <w:iCs/>
          <w:i/>
        </w:rPr>
        <w:t xml:space="preserve">End of Experiment Protocol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Dubai</dc:title>
  <dc:creator/>
  <dc:language>en</dc:language>
  <cp:keywords/>
  <dcterms:created xsi:type="dcterms:W3CDTF">2026-10-10T02:32:42Z</dcterms:created>
  <dcterms:modified xsi:type="dcterms:W3CDTF">2026-10-10T02:32:42Z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