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Joinery</w:t>
      </w:r>
      <w:r>
        <w:t xml:space="preserve"> </w:t>
      </w:r>
      <w:r>
        <w:t xml:space="preserve">Techniques</w:t>
      </w:r>
      <w:r>
        <w:t xml:space="preserve"> </w:t>
      </w:r>
      <w:r>
        <w:t xml:space="preserve">in</w:t>
      </w:r>
      <w:r>
        <w:t xml:space="preserve"> </w:t>
      </w:r>
      <w:r>
        <w:t xml:space="preserve">Manchester</w:t>
      </w:r>
    </w:p>
    <w:bookmarkStart w:id="31" w:name="X081541a93aeaf6adeb32b4c034d4b350981df2f"/>
    <w:p>
      <w:pPr>
        <w:pStyle w:val="Heading1"/>
      </w:pPr>
      <w:r>
        <w:t xml:space="preserve">Experiment Protocol: Comparative Analysis of Sustainable Joinery Methods in Urban Environments</w:t>
      </w:r>
    </w:p>
    <w:p>
      <w:pPr>
        <w:pStyle w:val="FirstParagraph"/>
      </w:pPr>
      <w:r>
        <w:rPr>
          <w:bCs/>
          <w:b/>
        </w:rPr>
        <w:t xml:space="preserve">Project Title:</w:t>
      </w:r>
      <w:r>
        <w:t xml:space="preserve"> </w:t>
      </w:r>
      <w:r>
        <w:t xml:space="preserve">Structural Integrity and Aesthetic Durability of Modern Carpenter Techniques in Manchester Climates</w:t>
      </w:r>
    </w:p>
    <w:p>
      <w:pPr>
        <w:pStyle w:val="BodyText"/>
      </w:pPr>
      <w:r>
        <w:rPr>
          <w:bCs/>
          <w:b/>
        </w:rPr>
        <w:t xml:space="preserve">Location:</w:t>
      </w:r>
      <w:r>
        <w:t xml:space="preserve"> </w:t>
      </w:r>
      <w:r>
        <w:t xml:space="preserve">United Kingdom, Manchester (Greater Manchester Region)</w:t>
      </w:r>
    </w:p>
    <w:p>
      <w:pPr>
        <w:pStyle w:val="BodyText"/>
      </w:pPr>
      <w:r>
        <w:rPr>
          <w:bCs/>
          <w:b/>
        </w:rPr>
        <w:t xml:space="preserve">Lead Investigator:</w:t>
      </w:r>
      <w:r>
        <w:t xml:space="preserve"> </w:t>
      </w:r>
      <w:r>
        <w:t xml:space="preserve">Senior Master Carpenter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testing procedures required to evaluate the performance of specific carpentry techniques when applied to exterior structures within the unique environmental conditions of Manchester, United Kingdom. Manchester is characterized by a temperate maritime climate, featuring high humidity, frequent precipitation, and variable temperature fluctuations. These conditions pose significant challenges to timber structures, necessitating advanced carpentry skills and material selection.</w:t>
      </w:r>
    </w:p>
    <w:p>
      <w:pPr>
        <w:pStyle w:val="BodyText"/>
      </w:pPr>
      <w:r>
        <w:t xml:space="preserve">The primary objective of this experiment is to determine the efficacy of three distinct joinery methods—Traditional Mortise and Tenon, Dovetail, and Modern Dowel Joinery—when utilized by a professional Carpenter on sustainably sourced softwood. The study aims to quantify resistance to moisture ingress, structural stability under load, and long-term aesthetic degradation.</w:t>
      </w:r>
    </w:p>
    <w:bookmarkEnd w:id="20"/>
    <w:bookmarkStart w:id="21" w:name="scope-and-definitions"/>
    <w:p>
      <w:pPr>
        <w:pStyle w:val="Heading2"/>
      </w:pPr>
      <w:r>
        <w:t xml:space="preserve">2. Scope and Definitions</w:t>
      </w:r>
    </w:p>
    <w:p>
      <w:pPr>
        <w:pStyle w:val="FirstParagraph"/>
      </w:pPr>
      <w:r>
        <w:t xml:space="preserve">This protocol applies strictly to the construction of test panels intended for outdoor exposure. The term "Carpenter" in this document refers to a qualified tradesperson adhering to UK Building Regulations and Health and Safety at Work standards. The geographic scope is limited to the Greater Manchester area, specifically utilizing local timber suppliers to ensure material consistency.</w:t>
      </w:r>
    </w:p>
    <w:bookmarkEnd w:id="21"/>
    <w:bookmarkStart w:id="22" w:name="materials-and-equipment"/>
    <w:p>
      <w:pPr>
        <w:pStyle w:val="Heading2"/>
      </w:pPr>
      <w:r>
        <w:t xml:space="preserve">3. Materials and Equipment</w:t>
      </w:r>
    </w:p>
    <w:p>
      <w:pPr>
        <w:pStyle w:val="FirstParagraph"/>
      </w:pPr>
      <w:r>
        <w:t xml:space="preserve">To ensure the validity of the experiment, the following materials and tools must be sourced and prepared:</w:t>
      </w:r>
    </w:p>
    <w:p>
      <w:pPr>
        <w:numPr>
          <w:ilvl w:val="0"/>
          <w:numId w:val="1001"/>
        </w:numPr>
        <w:pStyle w:val="Compact"/>
      </w:pPr>
      <w:r>
        <w:rPr>
          <w:bCs/>
          <w:b/>
        </w:rPr>
        <w:t xml:space="preserve">Timber:</w:t>
      </w:r>
      <w:r>
        <w:t xml:space="preserve"> </w:t>
      </w:r>
      <w:r>
        <w:t xml:space="preserve">100mm x 50mm planed softwood (Spruce), kiln-dried to 12-14% moisture content, sourced from a Manchester-based timber merchant.</w:t>
      </w:r>
    </w:p>
    <w:p>
      <w:pPr>
        <w:numPr>
          <w:ilvl w:val="0"/>
          <w:numId w:val="1001"/>
        </w:numPr>
        <w:pStyle w:val="Compact"/>
      </w:pPr>
      <w:r>
        <w:rPr>
          <w:bCs/>
          <w:b/>
        </w:rPr>
        <w:t xml:space="preserve">Adhesives:</w:t>
      </w:r>
      <w:r>
        <w:t xml:space="preserve"> </w:t>
      </w:r>
      <w:r>
        <w:t xml:space="preserve">Water-resistant PVA glue (D3 rating) and Polyurethane adhesive.</w:t>
      </w:r>
    </w:p>
    <w:p>
      <w:pPr>
        <w:numPr>
          <w:ilvl w:val="0"/>
          <w:numId w:val="1001"/>
        </w:numPr>
        <w:pStyle w:val="Compact"/>
      </w:pPr>
      <w:r>
        <w:rPr>
          <w:bCs/>
          <w:b/>
        </w:rPr>
        <w:t xml:space="preserve">Fasteners:</w:t>
      </w:r>
      <w:r>
        <w:t xml:space="preserve"> </w:t>
      </w:r>
      <w:r>
        <w:t xml:space="preserve">Stainless steel screws (A2 grade) for control samples.</w:t>
      </w:r>
    </w:p>
    <w:p>
      <w:pPr>
        <w:numPr>
          <w:ilvl w:val="0"/>
          <w:numId w:val="1001"/>
        </w:numPr>
        <w:pStyle w:val="Compact"/>
      </w:pPr>
      <w:r>
        <w:rPr>
          <w:bCs/>
          <w:b/>
        </w:rPr>
        <w:t xml:space="preserve">Tools:</w:t>
      </w:r>
      <w:r>
        <w:t xml:space="preserve"> </w:t>
      </w:r>
      <w:r>
        <w:t xml:space="preserve">Precision hand saws, chisels, electric drill, mortising machine, and digital moisture meter.</w:t>
      </w:r>
    </w:p>
    <w:p>
      <w:pPr>
        <w:numPr>
          <w:ilvl w:val="0"/>
          <w:numId w:val="1001"/>
        </w:numPr>
        <w:pStyle w:val="Compact"/>
      </w:pPr>
      <w:r>
        <w:rPr>
          <w:bCs/>
          <w:b/>
        </w:rPr>
        <w:t xml:space="preserve">Protective Coatings:</w:t>
      </w:r>
      <w:r>
        <w:t xml:space="preserve"> </w:t>
      </w:r>
      <w:r>
        <w:t xml:space="preserve">Clear penetrating oil and microporous paint.</w:t>
      </w:r>
    </w:p>
    <w:bookmarkEnd w:id="22"/>
    <w:bookmarkStart w:id="26"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The Carpenter must begin by inspecting all timber for defects such as knots, warping, or splits. Each piece of timber must be measured and cut to a standardized length of 1.5 meters. The moisture content of each piece must be recorded using a digital moisture meter to ensure it falls within the acceptable range for exterior carpentry in the UK.</w:t>
      </w:r>
    </w:p>
    <w:bookmarkEnd w:id="23"/>
    <w:bookmarkStart w:id="24" w:name="joinery-execution"/>
    <w:p>
      <w:pPr>
        <w:pStyle w:val="Heading3"/>
      </w:pPr>
      <w:r>
        <w:t xml:space="preserve">4.2 Joinery Execution</w:t>
      </w:r>
    </w:p>
    <w:p>
      <w:pPr>
        <w:pStyle w:val="FirstParagraph"/>
      </w:pPr>
      <w:r>
        <w:t xml:space="preserve">The Carpenter will construct three sets of test frames, each consisting of four panels. Each set will utilize a different joinery technique:</w:t>
      </w:r>
    </w:p>
    <w:p>
      <w:pPr>
        <w:numPr>
          <w:ilvl w:val="0"/>
          <w:numId w:val="1002"/>
        </w:numPr>
        <w:pStyle w:val="Compact"/>
      </w:pPr>
      <w:r>
        <w:rPr>
          <w:bCs/>
          <w:b/>
        </w:rPr>
        <w:t xml:space="preserve">Group A:</w:t>
      </w:r>
      <w:r>
        <w:t xml:space="preserve"> </w:t>
      </w:r>
      <w:r>
        <w:t xml:space="preserve">Traditional Mortise and Tenon joints, hand-cut to ensure maximum precision.</w:t>
      </w:r>
    </w:p>
    <w:p>
      <w:pPr>
        <w:numPr>
          <w:ilvl w:val="0"/>
          <w:numId w:val="1002"/>
        </w:numPr>
        <w:pStyle w:val="Compact"/>
      </w:pPr>
      <w:r>
        <w:rPr>
          <w:bCs/>
          <w:b/>
        </w:rPr>
        <w:t xml:space="preserve">Group B:</w:t>
      </w:r>
      <w:r>
        <w:t xml:space="preserve"> </w:t>
      </w:r>
      <w:r>
        <w:t xml:space="preserve">Double Dovetail joints, machine-cut for consistency.</w:t>
      </w:r>
    </w:p>
    <w:p>
      <w:pPr>
        <w:numPr>
          <w:ilvl w:val="0"/>
          <w:numId w:val="1002"/>
        </w:numPr>
        <w:pStyle w:val="Compact"/>
      </w:pPr>
      <w:r>
        <w:rPr>
          <w:bCs/>
          <w:b/>
        </w:rPr>
        <w:t xml:space="preserve">Group C:</w:t>
      </w:r>
      <w:r>
        <w:t xml:space="preserve"> </w:t>
      </w:r>
      <w:r>
        <w:t xml:space="preserve">Blind Dowel joints, utilizing 8mm hardwood dowels.</w:t>
      </w:r>
    </w:p>
    <w:p>
      <w:pPr>
        <w:pStyle w:val="FirstParagraph"/>
      </w:pPr>
      <w:r>
        <w:t xml:space="preserve">All joints must be assembled without the use of mechanical fasteners (screws or nails) to isolate the performance of the joinery itself. Adhesive application must be uniform across all groups.</w:t>
      </w:r>
    </w:p>
    <w:bookmarkEnd w:id="24"/>
    <w:bookmarkStart w:id="25" w:name="installation-in-manchester-environment"/>
    <w:p>
      <w:pPr>
        <w:pStyle w:val="Heading3"/>
      </w:pPr>
      <w:r>
        <w:t xml:space="preserve">4.3 Installation in Manchester Environment</w:t>
      </w:r>
    </w:p>
    <w:p>
      <w:pPr>
        <w:pStyle w:val="FirstParagraph"/>
      </w:pPr>
      <w:r>
        <w:t xml:space="preserve">The completed frames will be installed on a test rig located in an open area in Manchester, exposed to the prevailing south-westerly winds and rainfall. The frames will be positioned at a 45-degree angle to maximize exposure to precipitation. The installation must comply with local council regulations regarding temporary structures.</w:t>
      </w:r>
    </w:p>
    <w:bookmarkEnd w:id="25"/>
    <w:bookmarkEnd w:id="26"/>
    <w:bookmarkStart w:id="27" w:name="data-collection-and-monitoring"/>
    <w:p>
      <w:pPr>
        <w:pStyle w:val="Heading2"/>
      </w:pPr>
      <w:r>
        <w:t xml:space="preserve">5. Data Collection and Monitoring</w:t>
      </w:r>
    </w:p>
    <w:p>
      <w:pPr>
        <w:pStyle w:val="FirstParagraph"/>
      </w:pPr>
      <w:r>
        <w:t xml:space="preserve">Data collection will occur at monthly intervals over a period of 12 months. The following metrics will be recorded: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Method of Measurement</w:t>
            </w:r>
          </w:p>
        </w:tc>
        <w:tc>
          <w:tcPr/>
          <w:p>
            <w:pPr>
              <w:pStyle w:val="Compact"/>
              <w:jc w:val="left"/>
            </w:pPr>
            <w:r>
              <w:t xml:space="preserve">Frequency</w:t>
            </w:r>
          </w:p>
        </w:tc>
      </w:tr>
      <w:tr>
        <w:tc>
          <w:tcPr/>
          <w:p>
            <w:pPr>
              <w:pStyle w:val="Compact"/>
              <w:jc w:val="left"/>
            </w:pPr>
            <w:r>
              <w:t xml:space="preserve">Moisture Content</w:t>
            </w:r>
          </w:p>
        </w:tc>
        <w:tc>
          <w:tcPr/>
          <w:p>
            <w:pPr>
              <w:pStyle w:val="Compact"/>
              <w:jc w:val="left"/>
            </w:pPr>
            <w:r>
              <w:t xml:space="preserve">Digital Moisture Meter</w:t>
            </w:r>
          </w:p>
        </w:tc>
        <w:tc>
          <w:tcPr/>
          <w:p>
            <w:pPr>
              <w:pStyle w:val="Compact"/>
              <w:jc w:val="left"/>
            </w:pPr>
            <w:r>
              <w:t xml:space="preserve">Monthly</w:t>
            </w:r>
          </w:p>
        </w:tc>
      </w:tr>
      <w:tr>
        <w:tc>
          <w:tcPr/>
          <w:p>
            <w:pPr>
              <w:pStyle w:val="Compact"/>
              <w:jc w:val="left"/>
            </w:pPr>
            <w:r>
              <w:t xml:space="preserve">Joint Integrity</w:t>
            </w:r>
          </w:p>
        </w:tc>
        <w:tc>
          <w:tcPr/>
          <w:p>
            <w:pPr>
              <w:pStyle w:val="Compact"/>
              <w:jc w:val="left"/>
            </w:pPr>
            <w:r>
              <w:t xml:space="preserve">Visual Inspection and Tap Test</w:t>
            </w:r>
          </w:p>
        </w:tc>
        <w:tc>
          <w:tcPr/>
          <w:p>
            <w:pPr>
              <w:pStyle w:val="Compact"/>
              <w:jc w:val="left"/>
            </w:pPr>
            <w:r>
              <w:t xml:space="preserve">Monthly</w:t>
            </w:r>
          </w:p>
        </w:tc>
      </w:tr>
      <w:tr>
        <w:tc>
          <w:tcPr/>
          <w:p>
            <w:pPr>
              <w:pStyle w:val="Compact"/>
              <w:jc w:val="left"/>
            </w:pPr>
            <w:r>
              <w:t xml:space="preserve">Dimensional Stability</w:t>
            </w:r>
          </w:p>
        </w:tc>
        <w:tc>
          <w:tcPr/>
          <w:p>
            <w:pPr>
              <w:pStyle w:val="Compact"/>
              <w:jc w:val="left"/>
            </w:pPr>
            <w:r>
              <w:t xml:space="preserve">Laser Distance Measurer</w:t>
            </w:r>
          </w:p>
        </w:tc>
        <w:tc>
          <w:tcPr/>
          <w:p>
            <w:pPr>
              <w:pStyle w:val="Compact"/>
              <w:jc w:val="left"/>
            </w:pPr>
            <w:r>
              <w:t xml:space="preserve">Quarterly</w:t>
            </w:r>
          </w:p>
        </w:tc>
      </w:tr>
      <w:tr>
        <w:tc>
          <w:tcPr/>
          <w:p>
            <w:pPr>
              <w:pStyle w:val="Compact"/>
              <w:jc w:val="left"/>
            </w:pPr>
            <w:r>
              <w:t xml:space="preserve">Aesthetic Degradation</w:t>
            </w:r>
          </w:p>
        </w:tc>
        <w:tc>
          <w:tcPr/>
          <w:p>
            <w:pPr>
              <w:pStyle w:val="Compact"/>
              <w:jc w:val="left"/>
            </w:pPr>
            <w:r>
              <w:t xml:space="preserve">Photographic Documentation</w:t>
            </w:r>
          </w:p>
        </w:tc>
        <w:tc>
          <w:tcPr/>
          <w:p>
            <w:pPr>
              <w:pStyle w:val="Compact"/>
              <w:jc w:val="left"/>
            </w:pPr>
            <w:r>
              <w:t xml:space="preserve">Monthly</w:t>
            </w:r>
          </w:p>
        </w:tc>
      </w:tr>
    </w:tbl>
    <w:bookmarkEnd w:id="27"/>
    <w:bookmarkStart w:id="28" w:name="safety-and-compliance"/>
    <w:p>
      <w:pPr>
        <w:pStyle w:val="Heading2"/>
      </w:pPr>
      <w:r>
        <w:t xml:space="preserve">6. Safety and Compliance</w:t>
      </w:r>
    </w:p>
    <w:p>
      <w:pPr>
        <w:pStyle w:val="FirstParagraph"/>
      </w:pPr>
      <w:r>
        <w:t xml:space="preserve">All work must be conducted in accordance with the Health and Safety at Work etc. Act 1974. The Carpenter must wear appropriate Personal Protective Equipment (PPE), including safety glasses, hearing protection, and dust masks. Risk assessments must be completed prior to the commencement of any cutting or assembly work. Special attention must be paid to the handling of adhesives and the disposal of timber offcuts in accordance with Manchester City Council waste management guidelines.</w:t>
      </w:r>
    </w:p>
    <w:bookmarkEnd w:id="28"/>
    <w:bookmarkStart w:id="29" w:name="expected-outcomes"/>
    <w:p>
      <w:pPr>
        <w:pStyle w:val="Heading2"/>
      </w:pPr>
      <w:r>
        <w:t xml:space="preserve">7. Expected Outcomes</w:t>
      </w:r>
    </w:p>
    <w:p>
      <w:pPr>
        <w:pStyle w:val="FirstParagraph"/>
      </w:pPr>
      <w:r>
        <w:t xml:space="preserve">It is hypothesized that the Traditional Mortise and Tenon joints will demonstrate superior resistance to moisture ingress due to the larger surface area of glue contact and the mechanical interlock. The Dovetail joints are expected to show high resistance to racking forces but may be susceptible to moisture accumulation in the tails. The Dowel joints are anticipated to show the highest rate of degradation due to the potential for water wicking along the dowel holes.</w:t>
      </w:r>
    </w:p>
    <w:bookmarkEnd w:id="29"/>
    <w:bookmarkStart w:id="30" w:name="conclusion"/>
    <w:p>
      <w:pPr>
        <w:pStyle w:val="Heading2"/>
      </w:pPr>
      <w:r>
        <w:t xml:space="preserve">8. Conclusion</w:t>
      </w:r>
    </w:p>
    <w:p>
      <w:pPr>
        <w:pStyle w:val="FirstParagraph"/>
      </w:pPr>
      <w:r>
        <w:t xml:space="preserve">This Experiment Protocol provides a structured approach to evaluating carpentry techniques in the challenging environment of Manchester, United Kingdom. By adhering to these guidelines, the Carpenter will generate valuable data that can inform future construction practices, ensuring durability and sustainability in urban timber structures.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Joinery Techniques in Manchester</dc:title>
  <dc:creator/>
  <dc:language>en</dc:language>
  <cp:keywords/>
  <dcterms:created xsi:type="dcterms:W3CDTF">2026-10-10T02:58:05Z</dcterms:created>
  <dcterms:modified xsi:type="dcterms:W3CDTF">2026-10-10T02:58:05Z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