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Australia</w:t>
      </w:r>
      <w:r>
        <w:t xml:space="preserve"> </w:t>
      </w:r>
      <w:r>
        <w:t xml:space="preserve">Brisbane</w:t>
      </w:r>
    </w:p>
    <w:bookmarkStart w:id="32" w:name="X53f58bffbb65f48a88b18c9a6fd1c662e1c557d"/>
    <w:p>
      <w:pPr>
        <w:pStyle w:val="Heading1"/>
      </w:pPr>
      <w:r>
        <w:t xml:space="preserve">Experiment Protocol: Chef Infrastructure Deployment in Australia Brisbane</w:t>
      </w:r>
    </w:p>
    <w:p>
      <w:pPr>
        <w:pStyle w:val="FirstParagraph"/>
      </w:pPr>
      <w:r>
        <w:rPr>
          <w:bCs/>
          <w:b/>
        </w:rPr>
        <w:t xml:space="preserve">Protocol ID:</w:t>
      </w:r>
      <w:r>
        <w:t xml:space="preserve"> </w:t>
      </w:r>
      <w:r>
        <w:t xml:space="preserve">EXP-CHEF-BNE-2023-001</w:t>
      </w:r>
    </w:p>
    <w:p>
      <w:pPr>
        <w:pStyle w:val="BodyText"/>
      </w:pPr>
      <w:r>
        <w:rPr>
          <w:bCs/>
          <w:b/>
        </w:rPr>
        <w:t xml:space="preserve">Location:</w:t>
      </w:r>
      <w:r>
        <w:t xml:space="preserve"> </w:t>
      </w:r>
      <w:r>
        <w:t xml:space="preserve">Australia Brisbane (Sydney/Melbourne Region Context)</w:t>
      </w:r>
    </w:p>
    <w:p>
      <w:pPr>
        <w:pStyle w:val="BodyText"/>
      </w:pPr>
      <w:r>
        <w:rPr>
          <w:bCs/>
          <w:b/>
        </w:rPr>
        <w:t xml:space="preserve">Subject:</w:t>
      </w:r>
      <w:r>
        <w:t xml:space="preserve"> </w:t>
      </w:r>
      <w:r>
        <w:t xml:space="preserve">Chef Configuration Management Tool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configuration, and performance evaluation of the Chef automation platform within a simulated enterprise environment located in Australia Brisbane. The primary objective is to assess the efficacy of Chef in managing infrastructure as code (IaC) for a distributed system architecture typical of Australian enterprise standards.</w:t>
      </w:r>
    </w:p>
    <w:p>
      <w:pPr>
        <w:pStyle w:val="BodyText"/>
      </w:pPr>
      <w:r>
        <w:t xml:space="preserve">The experiment aims to validate the following hypotheses:</w:t>
      </w:r>
    </w:p>
    <w:p>
      <w:pPr>
        <w:numPr>
          <w:ilvl w:val="0"/>
          <w:numId w:val="1001"/>
        </w:numPr>
        <w:pStyle w:val="Compact"/>
      </w:pPr>
      <w:r>
        <w:t xml:space="preserve">Chef can successfully provision and configure a fleet of 50+ nodes within the Australia Brisbane data center region with less than 5% drift.</w:t>
      </w:r>
    </w:p>
    <w:p>
      <w:pPr>
        <w:numPr>
          <w:ilvl w:val="0"/>
          <w:numId w:val="1001"/>
        </w:numPr>
        <w:pStyle w:val="Compact"/>
      </w:pPr>
      <w:r>
        <w:t xml:space="preserve">Latency between the Chef Server and nodes located in Australia Brisbane remains within acceptable thresholds (&lt;200ms) for real-time configuration updates.</w:t>
      </w:r>
    </w:p>
    <w:p>
      <w:pPr>
        <w:numPr>
          <w:ilvl w:val="0"/>
          <w:numId w:val="1001"/>
        </w:numPr>
        <w:pStyle w:val="Compact"/>
      </w:pPr>
      <w:r>
        <w:t xml:space="preserve">The Chef ecosystem adheres to local compliance requirements regarding data sovereignty and security protocols.</w:t>
      </w:r>
    </w:p>
    <w:bookmarkEnd w:id="20"/>
    <w:bookmarkStart w:id="22" w:name="scope-and-environment"/>
    <w:p>
      <w:pPr>
        <w:pStyle w:val="Heading2"/>
      </w:pPr>
      <w:r>
        <w:t xml:space="preserve">2. Scope and Environment</w:t>
      </w:r>
    </w:p>
    <w:p>
      <w:pPr>
        <w:pStyle w:val="FirstParagraph"/>
      </w:pPr>
      <w:r>
        <w:t xml:space="preserve">The scope of this experiment is strictly limited to the technical implementation of Chef within the Australia Brisbane region. This includes the setup of the Chef Server, Workstation, and Client nodes. The environment will simulate a high-availability web application stack.</w:t>
      </w:r>
    </w:p>
    <w:bookmarkStart w:id="21" w:name="hardware-and-software-specifications"/>
    <w:p>
      <w:pPr>
        <w:pStyle w:val="Heading3"/>
      </w:pPr>
      <w:r>
        <w:t xml:space="preserve">2.1 Hardware and Software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8 vCPU, 32GB RAM, 500GB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4 vCPU, 16GB RAM</w:t>
            </w:r>
          </w:p>
        </w:tc>
        <w:tc>
          <w:tcPr/>
          <w:p>
            <w:pPr>
              <w:pStyle w:val="Compact"/>
              <w:jc w:val="left"/>
            </w:pPr>
            <w:r>
              <w:t xml:space="preserve">2</w:t>
            </w:r>
          </w:p>
        </w:tc>
      </w:tr>
      <w:tr>
        <w:tc>
          <w:tcPr/>
          <w:p>
            <w:pPr>
              <w:pStyle w:val="Compact"/>
              <w:jc w:val="left"/>
            </w:pPr>
            <w:r>
              <w:t xml:space="preserve">Chef Nodes (Clients)</w:t>
            </w:r>
          </w:p>
        </w:tc>
        <w:tc>
          <w:tcPr/>
          <w:p>
            <w:pPr>
              <w:pStyle w:val="Compact"/>
              <w:jc w:val="left"/>
            </w:pPr>
            <w:r>
              <w:t xml:space="preserve">Ubuntu 22.04 LTS, 2 vCPU, 8GB RAM</w:t>
            </w:r>
          </w:p>
        </w:tc>
        <w:tc>
          <w:tcPr/>
          <w:p>
            <w:pPr>
              <w:pStyle w:val="Compact"/>
              <w:jc w:val="left"/>
            </w:pPr>
            <w:r>
              <w:t xml:space="preserve">50</w:t>
            </w:r>
          </w:p>
        </w:tc>
      </w:tr>
      <w:tr>
        <w:tc>
          <w:tcPr/>
          <w:p>
            <w:pPr>
              <w:pStyle w:val="Compact"/>
              <w:jc w:val="left"/>
            </w:pPr>
            <w:r>
              <w:t xml:space="preserve">Network</w:t>
            </w:r>
          </w:p>
        </w:tc>
        <w:tc>
          <w:tcPr/>
          <w:p>
            <w:pPr>
              <w:pStyle w:val="Compact"/>
              <w:jc w:val="left"/>
            </w:pPr>
            <w:r>
              <w:t xml:space="preserve">Private VPC within Australia Brisbane Region</w:t>
            </w:r>
          </w:p>
        </w:tc>
        <w:tc>
          <w:tcPr/>
          <w:p>
            <w:pPr>
              <w:pStyle w:val="Compact"/>
              <w:jc w:val="left"/>
            </w:pPr>
            <w:r>
              <w:t xml:space="preserve">1</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All procedures must be executed by authorized DevOps engineers familiar with the Chef Ruby DSL and the specific network topology of the Australia Brisbane data center.</w:t>
      </w:r>
    </w:p>
    <w:bookmarkStart w:id="23" w:name="phase-1-infrastructure-provisioning"/>
    <w:p>
      <w:pPr>
        <w:pStyle w:val="Heading3"/>
      </w:pPr>
      <w:r>
        <w:t xml:space="preserve">Phase 1: Infrastructure Provisioning</w:t>
      </w:r>
    </w:p>
    <w:p>
      <w:pPr>
        <w:pStyle w:val="FirstParagraph"/>
      </w:pPr>
      <w:r>
        <w:t xml:space="preserve">Provision the Chef Server and Workstation instances. Ensure that the Chef Server is configured with a fully qualified domain name (FQDN) resolvable within the Australia Brisbane network. Install the Chef Server software using the official omnibus package.</w:t>
      </w:r>
    </w:p>
    <w:p>
      <w:pPr>
        <w:pStyle w:val="BodyText"/>
      </w:pPr>
      <w:r>
        <w:t xml:space="preserve">sudo apt-get install chef-server-core-</w:t>
      </w:r>
      <w:r>
        <w:br/>
      </w:r>
      <w:r>
        <w:t xml:space="preserve">sudo chef-server-ctl reconfigure</w:t>
      </w:r>
    </w:p>
    <w:bookmarkEnd w:id="23"/>
    <w:bookmarkStart w:id="24" w:name="phase-2-configuration-management-setup"/>
    <w:p>
      <w:pPr>
        <w:pStyle w:val="Heading3"/>
      </w:pPr>
      <w:r>
        <w:t xml:space="preserve">Phase 2: Configuration Management Setup</w:t>
      </w:r>
    </w:p>
    <w:p>
      <w:pPr>
        <w:pStyle w:val="FirstParagraph"/>
      </w:pPr>
      <w:r>
        <w:t xml:space="preserve">Create the organization and generate the validation keys. On the Chef Workstation, install the Chef Development Kit (ChefDK). Configure the</w:t>
      </w:r>
      <w:r>
        <w:t xml:space="preserve"> </w:t>
      </w:r>
      <w:r>
        <w:rPr>
          <w:rStyle w:val="VerbatimChar"/>
        </w:rPr>
        <w:t xml:space="preserve">knife.rb</w:t>
      </w:r>
      <w:r>
        <w:t xml:space="preserve"> </w:t>
      </w:r>
      <w:r>
        <w:t xml:space="preserve">file to point to the Chef Server endpoint. This phase is critical for establishing the trust relationship between the Chef components.</w:t>
      </w:r>
    </w:p>
    <w:bookmarkEnd w:id="24"/>
    <w:bookmarkStart w:id="25" w:name="Xc29bc0909ca63efc76ae220477f3f9945fc5f09"/>
    <w:p>
      <w:pPr>
        <w:pStyle w:val="Heading3"/>
      </w:pPr>
      <w:r>
        <w:t xml:space="preserve">Phase 3: Cookbook Development and Deployment</w:t>
      </w:r>
    </w:p>
    <w:p>
      <w:pPr>
        <w:pStyle w:val="FirstParagraph"/>
      </w:pPr>
      <w:r>
        <w:t xml:space="preserve">Develop custom cookbooks tailored to the application requirements. These cookbooks will define the desired state of the nodes. The experiment will utilize the following resources:</w:t>
      </w:r>
    </w:p>
    <w:p>
      <w:pPr>
        <w:numPr>
          <w:ilvl w:val="0"/>
          <w:numId w:val="1002"/>
        </w:numPr>
        <w:pStyle w:val="Compact"/>
      </w:pPr>
      <w:r>
        <w:rPr>
          <w:bCs/>
          <w:b/>
        </w:rPr>
        <w:t xml:space="preserve">Web Server Cookbook:</w:t>
      </w:r>
      <w:r>
        <w:t xml:space="preserve"> </w:t>
      </w:r>
      <w:r>
        <w:t xml:space="preserve">Installs and configures Nginx.</w:t>
      </w:r>
    </w:p>
    <w:p>
      <w:pPr>
        <w:numPr>
          <w:ilvl w:val="0"/>
          <w:numId w:val="1002"/>
        </w:numPr>
        <w:pStyle w:val="Compact"/>
      </w:pPr>
      <w:r>
        <w:rPr>
          <w:bCs/>
          <w:b/>
        </w:rPr>
        <w:t xml:space="preserve">Database Cookbook:</w:t>
      </w:r>
      <w:r>
        <w:t xml:space="preserve"> </w:t>
      </w:r>
      <w:r>
        <w:t xml:space="preserve">Installs and secures PostgreSQL.</w:t>
      </w:r>
    </w:p>
    <w:p>
      <w:pPr>
        <w:numPr>
          <w:ilvl w:val="0"/>
          <w:numId w:val="1002"/>
        </w:numPr>
        <w:pStyle w:val="Compact"/>
      </w:pPr>
      <w:r>
        <w:rPr>
          <w:bCs/>
          <w:b/>
        </w:rPr>
        <w:t xml:space="preserve">Security Cookbook:</w:t>
      </w:r>
      <w:r>
        <w:t xml:space="preserve"> </w:t>
      </w:r>
      <w:r>
        <w:t xml:space="preserve">Implements firewall rules compliant with Australian cybersecurity standards.</w:t>
      </w:r>
    </w:p>
    <w:p>
      <w:pPr>
        <w:pStyle w:val="FirstParagraph"/>
      </w:pPr>
      <w:r>
        <w:t xml:space="preserve">Upload the cookbooks to the Chef Server using the</w:t>
      </w:r>
      <w:r>
        <w:t xml:space="preserve"> </w:t>
      </w:r>
      <w:r>
        <w:rPr>
          <w:rStyle w:val="VerbatimChar"/>
        </w:rPr>
        <w:t xml:space="preserve">knife cookbook upload</w:t>
      </w:r>
      <w:r>
        <w:t xml:space="preserve"> </w:t>
      </w:r>
      <w:r>
        <w:t xml:space="preserve">command. Assign roles and environments to the nodes to ensure proper configuration segregation.</w:t>
      </w:r>
    </w:p>
    <w:bookmarkEnd w:id="25"/>
    <w:bookmarkStart w:id="26" w:name="phase-4-execution-and-monitoring"/>
    <w:p>
      <w:pPr>
        <w:pStyle w:val="Heading3"/>
      </w:pPr>
      <w:r>
        <w:t xml:space="preserve">Phase 4: Execution and Monitoring</w:t>
      </w:r>
    </w:p>
    <w:p>
      <w:pPr>
        <w:pStyle w:val="FirstParagraph"/>
      </w:pPr>
      <w:r>
        <w:t xml:space="preserve">Trigger a Chef Client run on all 50 nodes. Monitor the convergence process to ensure that all nodes reach the desired state. Collect metrics on run time, error rates, and network latency. The monitoring will be conducted over a period of 72 hours to assess stability.</w:t>
      </w:r>
    </w:p>
    <w:bookmarkEnd w:id="26"/>
    <w:bookmarkEnd w:id="27"/>
    <w:bookmarkStart w:id="28" w:name="data-collection-and-analysis"/>
    <w:p>
      <w:pPr>
        <w:pStyle w:val="Heading2"/>
      </w:pPr>
      <w:r>
        <w:t xml:space="preserve">4. Data Collection and Analysis</w:t>
      </w:r>
    </w:p>
    <w:p>
      <w:pPr>
        <w:pStyle w:val="FirstParagraph"/>
      </w:pPr>
      <w:r>
        <w:t xml:space="preserve">Data will be collected using Chef's built-in reporting tools and external monitoring solutions such as Prometheus and Grafana. Key performance indicators (KPIs) include:</w:t>
      </w:r>
    </w:p>
    <w:p>
      <w:pPr>
        <w:numPr>
          <w:ilvl w:val="0"/>
          <w:numId w:val="1003"/>
        </w:numPr>
        <w:pStyle w:val="Compact"/>
      </w:pPr>
      <w:r>
        <w:rPr>
          <w:bCs/>
          <w:b/>
        </w:rPr>
        <w:t xml:space="preserve">Convergence Time:</w:t>
      </w:r>
      <w:r>
        <w:t xml:space="preserve"> </w:t>
      </w:r>
      <w:r>
        <w:t xml:space="preserve">Average time taken for a node to converge to the desired state.</w:t>
      </w:r>
    </w:p>
    <w:p>
      <w:pPr>
        <w:numPr>
          <w:ilvl w:val="0"/>
          <w:numId w:val="1003"/>
        </w:numPr>
        <w:pStyle w:val="Compact"/>
      </w:pPr>
      <w:r>
        <w:rPr>
          <w:bCs/>
          <w:b/>
        </w:rPr>
        <w:t xml:space="preserve">Configuration Drift:</w:t>
      </w:r>
      <w:r>
        <w:t xml:space="preserve"> </w:t>
      </w:r>
      <w:r>
        <w:t xml:space="preserve">Percentage of nodes that deviate from the defined state after the initial run.</w:t>
      </w:r>
    </w:p>
    <w:p>
      <w:pPr>
        <w:numPr>
          <w:ilvl w:val="0"/>
          <w:numId w:val="1003"/>
        </w:numPr>
        <w:pStyle w:val="Compact"/>
      </w:pPr>
      <w:r>
        <w:rPr>
          <w:bCs/>
          <w:b/>
        </w:rPr>
        <w:t xml:space="preserve">Latency:</w:t>
      </w:r>
      <w:r>
        <w:t xml:space="preserve"> </w:t>
      </w:r>
      <w:r>
        <w:t xml:space="preserve">Round-trip time between the Chef Server and nodes in Australia Brisbane.</w:t>
      </w:r>
    </w:p>
    <w:p>
      <w:pPr>
        <w:numPr>
          <w:ilvl w:val="0"/>
          <w:numId w:val="1003"/>
        </w:numPr>
        <w:pStyle w:val="Compact"/>
      </w:pPr>
      <w:r>
        <w:rPr>
          <w:bCs/>
          <w:b/>
        </w:rPr>
        <w:t xml:space="preserve">Error Rate:</w:t>
      </w:r>
      <w:r>
        <w:t xml:space="preserve"> </w:t>
      </w:r>
      <w:r>
        <w:t xml:space="preserve">Number of failed Chef Client runs per hour.</w:t>
      </w:r>
    </w:p>
    <w:p>
      <w:pPr>
        <w:pStyle w:val="FirstParagraph"/>
      </w:pPr>
      <w:r>
        <w:t xml:space="preserve">The data will be analyzed to determine if the hypotheses stated in Section 1 are supported. Statistical methods will be used to identify any significant trends or anomalies.</w:t>
      </w:r>
    </w:p>
    <w:bookmarkEnd w:id="28"/>
    <w:bookmarkStart w:id="29" w:name="risk-management-and-safety"/>
    <w:p>
      <w:pPr>
        <w:pStyle w:val="Heading2"/>
      </w:pPr>
      <w:r>
        <w:t xml:space="preserve">5. Risk Management and Safety</w:t>
      </w:r>
    </w:p>
    <w:p>
      <w:pPr>
        <w:pStyle w:val="FirstParagraph"/>
      </w:pPr>
      <w:r>
        <w:rPr>
          <w:bCs/>
          <w:b/>
        </w:rPr>
        <w:t xml:space="preserve">Warning:</w:t>
      </w:r>
      <w:r>
        <w:t xml:space="preserve"> </w:t>
      </w:r>
      <w:r>
        <w:t xml:space="preserve">Improper configuration of Chef can lead to widespread infrastructure failure. Ensure that all changes are tested in a staging environment before applying them to production nodes.</w:t>
      </w:r>
    </w:p>
    <w:p>
      <w:pPr>
        <w:pStyle w:val="BodyText"/>
      </w:pPr>
      <w:r>
        <w:t xml:space="preserve">Potential risks include:</w:t>
      </w:r>
    </w:p>
    <w:p>
      <w:pPr>
        <w:numPr>
          <w:ilvl w:val="0"/>
          <w:numId w:val="1004"/>
        </w:numPr>
        <w:pStyle w:val="Compact"/>
      </w:pPr>
      <w:r>
        <w:rPr>
          <w:bCs/>
          <w:b/>
        </w:rPr>
        <w:t xml:space="preserve">Configuration Errors:</w:t>
      </w:r>
      <w:r>
        <w:t xml:space="preserve"> </w:t>
      </w:r>
      <w:r>
        <w:t xml:space="preserve">Incorrect cookbook recipes may cause service outages. Mitigation: Use version control and peer review for all cookbook changes.</w:t>
      </w:r>
    </w:p>
    <w:p>
      <w:pPr>
        <w:numPr>
          <w:ilvl w:val="0"/>
          <w:numId w:val="1004"/>
        </w:numPr>
        <w:pStyle w:val="Compact"/>
      </w:pPr>
      <w:r>
        <w:rPr>
          <w:bCs/>
          <w:b/>
        </w:rPr>
        <w:t xml:space="preserve">Security Breaches:</w:t>
      </w:r>
      <w:r>
        <w:t xml:space="preserve"> </w:t>
      </w:r>
      <w:r>
        <w:t xml:space="preserve">Compromise of the Chef Server could lead to unauthorized access to all managed nodes. Mitigation: Implement strong authentication and encryption protocols.</w:t>
      </w:r>
    </w:p>
    <w:p>
      <w:pPr>
        <w:numPr>
          <w:ilvl w:val="0"/>
          <w:numId w:val="1004"/>
        </w:numPr>
        <w:pStyle w:val="Compact"/>
      </w:pPr>
      <w:r>
        <w:rPr>
          <w:bCs/>
          <w:b/>
        </w:rPr>
        <w:t xml:space="preserve">Network Issues:</w:t>
      </w:r>
      <w:r>
        <w:t xml:space="preserve"> </w:t>
      </w:r>
      <w:r>
        <w:t xml:space="preserve">Connectivity problems between the Chef Server and nodes in Australia Brisbane may disrupt configuration updates. Mitigation: Use redundant network paths and monitor connectivity continuously.</w:t>
      </w:r>
    </w:p>
    <w:bookmarkEnd w:id="29"/>
    <w:bookmarkStart w:id="30" w:name="compliance-and-ethical-considerations"/>
    <w:p>
      <w:pPr>
        <w:pStyle w:val="Heading2"/>
      </w:pPr>
      <w:r>
        <w:t xml:space="preserve">6. Compliance and Ethical Considerations</w:t>
      </w:r>
    </w:p>
    <w:p>
      <w:pPr>
        <w:pStyle w:val="FirstParagraph"/>
      </w:pPr>
      <w:r>
        <w:t xml:space="preserve">This experiment must adhere to all relevant Australian laws and regulations, including the Privacy Act 1988 and the Cyber Security Strategy. Data collected during the experiment must be handled in accordance with these regulations. Additionally, the experiment must respect the intellectual property rights of all software and tools used.</w:t>
      </w:r>
    </w:p>
    <w:bookmarkEnd w:id="30"/>
    <w:bookmarkStart w:id="31" w:name="conclusion-and-reporting"/>
    <w:p>
      <w:pPr>
        <w:pStyle w:val="Heading2"/>
      </w:pPr>
      <w:r>
        <w:t xml:space="preserve">7. Conclusion and Reporting</w:t>
      </w:r>
    </w:p>
    <w:p>
      <w:pPr>
        <w:pStyle w:val="FirstParagraph"/>
      </w:pPr>
      <w:r>
        <w:t xml:space="preserve">Upon completion of the experiment, a detailed report will be generated summarizing the findings, conclusions, and recommendations. The report will include:</w:t>
      </w:r>
    </w:p>
    <w:p>
      <w:pPr>
        <w:numPr>
          <w:ilvl w:val="0"/>
          <w:numId w:val="1005"/>
        </w:numPr>
        <w:pStyle w:val="Compact"/>
      </w:pPr>
      <w:r>
        <w:t xml:space="preserve">A summary of the experimental setup and methodology.</w:t>
      </w:r>
    </w:p>
    <w:p>
      <w:pPr>
        <w:numPr>
          <w:ilvl w:val="0"/>
          <w:numId w:val="1005"/>
        </w:numPr>
        <w:pStyle w:val="Compact"/>
      </w:pPr>
      <w:r>
        <w:t xml:space="preserve">An analysis of the collected data and KPIs.</w:t>
      </w:r>
    </w:p>
    <w:p>
      <w:pPr>
        <w:numPr>
          <w:ilvl w:val="0"/>
          <w:numId w:val="1005"/>
        </w:numPr>
        <w:pStyle w:val="Compact"/>
      </w:pPr>
      <w:r>
        <w:t xml:space="preserve">A discussion of the results in the context of the hypotheses.</w:t>
      </w:r>
    </w:p>
    <w:p>
      <w:pPr>
        <w:numPr>
          <w:ilvl w:val="0"/>
          <w:numId w:val="1005"/>
        </w:numPr>
        <w:pStyle w:val="Compact"/>
      </w:pPr>
      <w:r>
        <w:t xml:space="preserve">Recommendations for future improvements and best practices for using Chef in Australia Brisbane.</w:t>
      </w:r>
    </w:p>
    <w:p>
      <w:pPr>
        <w:pStyle w:val="FirstParagraph"/>
      </w:pPr>
      <w:r>
        <w:t xml:space="preserve">This Experiment Protocol serves as the definitive guide for the deployment and evaluation of Chef in the specified environment. All participants must strictly adhere to the procedures outlined herein to ensure the integrity and success of the experiment.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Australia Brisbane</dc:title>
  <dc:creator/>
  <dc:language>en</dc:language>
  <cp:keywords/>
  <dcterms:created xsi:type="dcterms:W3CDTF">2026-10-10T06:12:59Z</dcterms:created>
  <dcterms:modified xsi:type="dcterms:W3CDTF">2026-10-10T06:12:59Z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