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Egypt</w:t>
      </w:r>
      <w:r>
        <w:t xml:space="preserve"> </w:t>
      </w:r>
      <w:r>
        <w:t xml:space="preserve">Alexandria</w:t>
      </w:r>
    </w:p>
    <w:bookmarkStart w:id="20" w:name="Xa475a381bcabf512884295e7d4a4ae9c47473d1"/>
    <w:p>
      <w:pPr>
        <w:pStyle w:val="Heading1"/>
      </w:pPr>
      <w:r>
        <w:t xml:space="preserve">Experiment Protocol: Chef Infrastructure Automation in Egypt Alexandria</w:t>
      </w:r>
    </w:p>
    <w:p>
      <w:pPr>
        <w:pStyle w:val="FirstParagraph"/>
      </w:pPr>
      <w:r>
        <w:rPr>
          <w:bCs/>
          <w:b/>
        </w:rPr>
        <w:t xml:space="preserve">Document ID:</w:t>
      </w:r>
      <w:r>
        <w:t xml:space="preserve"> </w:t>
      </w:r>
      <w:r>
        <w:t xml:space="preserve">EXP-CHEF-ALX-2023-001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Alexandria, Egypt</w:t>
      </w:r>
    </w:p>
    <w:p>
      <w:pPr>
        <w:pStyle w:val="BodyText"/>
      </w:pPr>
      <w:r>
        <w:rPr>
          <w:bCs/>
          <w:b/>
        </w:rPr>
        <w:t xml:space="preserve">Subject:</w:t>
      </w:r>
      <w:r>
        <w:t xml:space="preserve"> </w:t>
      </w:r>
      <w:r>
        <w:t xml:space="preserve">Deployment and Performance Analysis of Chef Configuration Management</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deploying, configuring, and evaluating the Chef infrastructure automation platform within a specific geographic and technical context: Egypt Alexandria. The primary objective is to assess the efficacy of Chef in managing distributed server configurations across data centers located in Alexandria, considering local network conditions, latency factors, and regional compliance requirements.</w:t>
      </w:r>
    </w:p>
    <w:p>
      <w:pPr>
        <w:pStyle w:val="BodyText"/>
      </w:pPr>
      <w:r>
        <w:t xml:space="preserve">Chef is a powerful configuration management tool that enables organizations to automate infrastructure provisioning, configuration, and management. By implementing Chef in Egypt Alexandria, this experiment aims to determine its ability to streamline operations, reduce manual errors, and enhance scalability for local enterprises.</w:t>
      </w:r>
    </w:p>
    <w:bookmarkEnd w:id="21"/>
    <w:bookmarkStart w:id="24" w:name="scope-and-environment"/>
    <w:p>
      <w:pPr>
        <w:pStyle w:val="Heading2"/>
      </w:pPr>
      <w:r>
        <w:t xml:space="preserve">2. Scope and Environment</w:t>
      </w:r>
    </w:p>
    <w:bookmarkStart w:id="22" w:name="geographic-context"/>
    <w:p>
      <w:pPr>
        <w:pStyle w:val="Heading3"/>
      </w:pPr>
      <w:r>
        <w:t xml:space="preserve">2.1 Geographic Context</w:t>
      </w:r>
    </w:p>
    <w:p>
      <w:pPr>
        <w:pStyle w:val="FirstParagraph"/>
      </w:pPr>
      <w:r>
        <w:t xml:space="preserve">The experiment will be conducted in Egypt Alexandria, leveraging local data centers and cloud resources. Alexandria's strategic location as a major port city and tech hub makes it an ideal testing ground for infrastructure automation. The protocol accounts for regional factors such as internet connectivity, power stability, and regulatory compliance.</w:t>
      </w:r>
    </w:p>
    <w:bookmarkEnd w:id="22"/>
    <w:bookmarkStart w:id="23" w:name="technical-environment"/>
    <w:p>
      <w:pPr>
        <w:pStyle w:val="Heading3"/>
      </w:pPr>
      <w:r>
        <w:t xml:space="preserve">2.2 Technical Environment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 Version</w:t>
            </w:r>
          </w:p>
        </w:tc>
        <w:tc>
          <w:tcPr/>
          <w:p>
            <w:pPr>
              <w:pStyle w:val="Compact"/>
              <w:jc w:val="left"/>
            </w:pPr>
            <w:r>
              <w:t xml:space="preserve">Chef 18.x (Latest Stable Release)</w:t>
            </w:r>
          </w:p>
        </w:tc>
      </w:tr>
      <w:tr>
        <w:tc>
          <w:tcPr/>
          <w:p>
            <w:pPr>
              <w:pStyle w:val="Compact"/>
              <w:jc w:val="left"/>
            </w:pPr>
            <w:r>
              <w:t xml:space="preserve">Operating Systems</w:t>
            </w:r>
          </w:p>
        </w:tc>
        <w:tc>
          <w:tcPr/>
          <w:p>
            <w:pPr>
              <w:pStyle w:val="Compact"/>
              <w:jc w:val="left"/>
            </w:pPr>
            <w:r>
              <w:t xml:space="preserve">Ubuntu 22.04 LTS, CentOS 8</w:t>
            </w:r>
          </w:p>
        </w:tc>
      </w:tr>
      <w:tr>
        <w:tc>
          <w:tcPr/>
          <w:p>
            <w:pPr>
              <w:pStyle w:val="Compact"/>
              <w:jc w:val="left"/>
            </w:pPr>
            <w:r>
              <w:t xml:space="preserve">Network Bandwidth</w:t>
            </w:r>
          </w:p>
        </w:tc>
        <w:tc>
          <w:tcPr/>
          <w:p>
            <w:pPr>
              <w:pStyle w:val="Compact"/>
              <w:jc w:val="left"/>
            </w:pPr>
            <w:r>
              <w:t xml:space="preserve">1 Gbps Dedicated Fiber Connection</w:t>
            </w:r>
          </w:p>
        </w:tc>
      </w:tr>
      <w:tr>
        <w:tc>
          <w:tcPr/>
          <w:p>
            <w:pPr>
              <w:pStyle w:val="Compact"/>
              <w:jc w:val="left"/>
            </w:pPr>
            <w:r>
              <w:t xml:space="preserve">Node Count</w:t>
            </w:r>
          </w:p>
        </w:tc>
        <w:tc>
          <w:tcPr/>
          <w:p>
            <w:pPr>
              <w:pStyle w:val="Compact"/>
              <w:jc w:val="left"/>
            </w:pPr>
            <w:r>
              <w:t xml:space="preserve">50 Virtual Machines (VMs) across 3 Availability Zones</w:t>
            </w:r>
          </w:p>
        </w:tc>
      </w:tr>
      <w:tr>
        <w:tc>
          <w:tcPr/>
          <w:p>
            <w:pPr>
              <w:pStyle w:val="Compact"/>
              <w:jc w:val="left"/>
            </w:pPr>
            <w:r>
              <w:t xml:space="preserve">Storage</w:t>
            </w:r>
          </w:p>
        </w:tc>
        <w:tc>
          <w:tcPr/>
          <w:p>
            <w:pPr>
              <w:pStyle w:val="Compact"/>
              <w:jc w:val="left"/>
            </w:pPr>
            <w:r>
              <w:t xml:space="preserve">SSD-backed storage with RAID 10 configuration</w:t>
            </w:r>
          </w:p>
        </w:tc>
      </w:tr>
    </w:tbl>
    <w:bookmarkEnd w:id="23"/>
    <w:bookmarkEnd w:id="24"/>
    <w:bookmarkStart w:id="29" w:name="methodology"/>
    <w:p>
      <w:pPr>
        <w:pStyle w:val="Heading2"/>
      </w:pPr>
      <w:r>
        <w:t xml:space="preserve">3. Methodology</w:t>
      </w:r>
    </w:p>
    <w:bookmarkStart w:id="25" w:name="phase-1-chef-server-deployment"/>
    <w:p>
      <w:pPr>
        <w:pStyle w:val="Heading3"/>
      </w:pPr>
      <w:r>
        <w:t xml:space="preserve">3.1 Phase 1: Chef Server Deployment</w:t>
      </w:r>
    </w:p>
    <w:p>
      <w:pPr>
        <w:pStyle w:val="FirstParagraph"/>
      </w:pPr>
      <w:r>
        <w:t xml:space="preserve">The first phase involves setting up the Chef Server in Egypt Alexandria. This includes:</w:t>
      </w:r>
    </w:p>
    <w:p>
      <w:pPr>
        <w:numPr>
          <w:ilvl w:val="0"/>
          <w:numId w:val="1001"/>
        </w:numPr>
        <w:pStyle w:val="Compact"/>
      </w:pPr>
      <w:r>
        <w:t xml:space="preserve">Provisioning a dedicated VM for the Chef Server.</w:t>
      </w:r>
    </w:p>
    <w:p>
      <w:pPr>
        <w:numPr>
          <w:ilvl w:val="0"/>
          <w:numId w:val="1001"/>
        </w:numPr>
        <w:pStyle w:val="Compact"/>
      </w:pPr>
      <w:r>
        <w:t xml:space="preserve">Installing Chef Server using the official omnibus package.</w:t>
      </w:r>
    </w:p>
    <w:p>
      <w:pPr>
        <w:numPr>
          <w:ilvl w:val="0"/>
          <w:numId w:val="1001"/>
        </w:numPr>
        <w:pStyle w:val="Compact"/>
      </w:pPr>
      <w:r>
        <w:t xml:space="preserve">Configuring SSL certificates for secure communication.</w:t>
      </w:r>
    </w:p>
    <w:p>
      <w:pPr>
        <w:numPr>
          <w:ilvl w:val="0"/>
          <w:numId w:val="1001"/>
        </w:numPr>
        <w:pStyle w:val="Compact"/>
      </w:pPr>
      <w:r>
        <w:t xml:space="preserve">Setting up user accounts and organizations.</w:t>
      </w:r>
    </w:p>
    <w:bookmarkEnd w:id="25"/>
    <w:bookmarkStart w:id="26" w:name="Xb5ef24896faad4b8ad5750a587172ffe26ecea3"/>
    <w:p>
      <w:pPr>
        <w:pStyle w:val="Heading3"/>
      </w:pPr>
      <w:r>
        <w:t xml:space="preserve">3.2 Phase 2: Node Registration and Configuration</w:t>
      </w:r>
    </w:p>
    <w:p>
      <w:pPr>
        <w:pStyle w:val="FirstParagraph"/>
      </w:pPr>
      <w:r>
        <w:t xml:space="preserve">In this phase, 50 VMs will be registered as Chef nodes. Each node will:</w:t>
      </w:r>
    </w:p>
    <w:p>
      <w:pPr>
        <w:numPr>
          <w:ilvl w:val="0"/>
          <w:numId w:val="1002"/>
        </w:numPr>
        <w:pStyle w:val="Compact"/>
      </w:pPr>
      <w:r>
        <w:t xml:space="preserve">Install the Chef Client.</w:t>
      </w:r>
    </w:p>
    <w:p>
      <w:pPr>
        <w:numPr>
          <w:ilvl w:val="0"/>
          <w:numId w:val="1002"/>
        </w:numPr>
        <w:pStyle w:val="Compact"/>
      </w:pPr>
      <w:r>
        <w:t xml:space="preserve">Authenticate with the Chef Server using generated keys.</w:t>
      </w:r>
    </w:p>
    <w:p>
      <w:pPr>
        <w:numPr>
          <w:ilvl w:val="0"/>
          <w:numId w:val="1002"/>
        </w:numPr>
        <w:pStyle w:val="Compact"/>
      </w:pPr>
      <w:r>
        <w:t xml:space="preserve">Apply initial cookbooks to configure base system settings.</w:t>
      </w:r>
    </w:p>
    <w:bookmarkEnd w:id="26"/>
    <w:bookmarkStart w:id="27" w:name="phase-3-cookbook-development-and-testing"/>
    <w:p>
      <w:pPr>
        <w:pStyle w:val="Heading3"/>
      </w:pPr>
      <w:r>
        <w:t xml:space="preserve">3.3 Phase 3: Cookbook Development and Testing</w:t>
      </w:r>
    </w:p>
    <w:p>
      <w:pPr>
        <w:pStyle w:val="FirstParagraph"/>
      </w:pPr>
      <w:r>
        <w:t xml:space="preserve">Cookbooks will be developed to automate common tasks such as:</w:t>
      </w:r>
    </w:p>
    <w:p>
      <w:pPr>
        <w:numPr>
          <w:ilvl w:val="0"/>
          <w:numId w:val="1003"/>
        </w:numPr>
        <w:pStyle w:val="Compact"/>
      </w:pPr>
      <w:r>
        <w:t xml:space="preserve">Web server installation (Apache/Nginx).</w:t>
      </w:r>
    </w:p>
    <w:p>
      <w:pPr>
        <w:numPr>
          <w:ilvl w:val="0"/>
          <w:numId w:val="1003"/>
        </w:numPr>
        <w:pStyle w:val="Compact"/>
      </w:pPr>
      <w:r>
        <w:t xml:space="preserve">Database configuration (MySQL/PostgreSQL).</w:t>
      </w:r>
    </w:p>
    <w:p>
      <w:pPr>
        <w:numPr>
          <w:ilvl w:val="0"/>
          <w:numId w:val="1003"/>
        </w:numPr>
        <w:pStyle w:val="Compact"/>
      </w:pPr>
      <w:r>
        <w:t xml:space="preserve">Security hardening (firewall rules, SSH configuration).</w:t>
      </w:r>
    </w:p>
    <w:p>
      <w:pPr>
        <w:pStyle w:val="FirstParagraph"/>
      </w:pPr>
      <w:r>
        <w:t xml:space="preserve">Each cookbook will undergo rigorous testing in a staging environment before deployment to production nodes.</w:t>
      </w:r>
    </w:p>
    <w:bookmarkEnd w:id="27"/>
    <w:bookmarkStart w:id="28" w:name="X25c658f72af745dd2c63419cda2683d718ce3a1"/>
    <w:p>
      <w:pPr>
        <w:pStyle w:val="Heading3"/>
      </w:pPr>
      <w:r>
        <w:t xml:space="preserve">3.4 Phase 4: Performance Monitoring and Analysis</w:t>
      </w:r>
    </w:p>
    <w:p>
      <w:pPr>
        <w:pStyle w:val="FirstParagraph"/>
      </w:pPr>
      <w:r>
        <w:t xml:space="preserve">Throughout the experiment, key performance indicators (KPIs) will be monitored, including:</w:t>
      </w:r>
    </w:p>
    <w:p>
      <w:pPr>
        <w:numPr>
          <w:ilvl w:val="0"/>
          <w:numId w:val="1004"/>
        </w:numPr>
        <w:pStyle w:val="Compact"/>
      </w:pPr>
      <w:r>
        <w:t xml:space="preserve">Chef Client run times.</w:t>
      </w:r>
    </w:p>
    <w:p>
      <w:pPr>
        <w:numPr>
          <w:ilvl w:val="0"/>
          <w:numId w:val="1004"/>
        </w:numPr>
        <w:pStyle w:val="Compact"/>
      </w:pPr>
      <w:r>
        <w:t xml:space="preserve">Server response times.</w:t>
      </w:r>
    </w:p>
    <w:p>
      <w:pPr>
        <w:numPr>
          <w:ilvl w:val="0"/>
          <w:numId w:val="1004"/>
        </w:numPr>
        <w:pStyle w:val="Compact"/>
      </w:pPr>
      <w:r>
        <w:t xml:space="preserve">Network latency between nodes and the Chef Server.</w:t>
      </w:r>
    </w:p>
    <w:p>
      <w:pPr>
        <w:numPr>
          <w:ilvl w:val="0"/>
          <w:numId w:val="1004"/>
        </w:numPr>
        <w:pStyle w:val="Compact"/>
      </w:pPr>
      <w:r>
        <w:t xml:space="preserve">Error rates and convergence success rates.</w:t>
      </w:r>
    </w:p>
    <w:bookmarkEnd w:id="28"/>
    <w:bookmarkEnd w:id="29"/>
    <w:bookmarkStart w:id="30" w:name="risk-assessment-and-mitigation"/>
    <w:p>
      <w:pPr>
        <w:pStyle w:val="Heading2"/>
      </w:pPr>
      <w:r>
        <w:t xml:space="preserve">4. Risk Assessment and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Network Outages</w:t>
            </w:r>
          </w:p>
        </w:tc>
        <w:tc>
          <w:tcPr/>
          <w:p>
            <w:pPr>
              <w:pStyle w:val="Compact"/>
              <w:jc w:val="left"/>
            </w:pPr>
            <w:r>
              <w:t xml:space="preserve">High</w:t>
            </w:r>
          </w:p>
        </w:tc>
        <w:tc>
          <w:tcPr/>
          <w:p>
            <w:pPr>
              <w:pStyle w:val="Compact"/>
              <w:jc w:val="left"/>
            </w:pPr>
            <w:r>
              <w:t xml:space="preserve">Implement redundant network paths and offline Chef Client runs.</w:t>
            </w:r>
          </w:p>
        </w:tc>
      </w:tr>
      <w:tr>
        <w:tc>
          <w:tcPr/>
          <w:p>
            <w:pPr>
              <w:pStyle w:val="Compact"/>
              <w:jc w:val="left"/>
            </w:pPr>
            <w:r>
              <w:t xml:space="preserve">Power Failures</w:t>
            </w:r>
          </w:p>
        </w:tc>
        <w:tc>
          <w:tcPr/>
          <w:p>
            <w:pPr>
              <w:pStyle w:val="Compact"/>
              <w:jc w:val="left"/>
            </w:pPr>
            <w:r>
              <w:t xml:space="preserve">Medium</w:t>
            </w:r>
          </w:p>
        </w:tc>
        <w:tc>
          <w:tcPr/>
          <w:p>
            <w:pPr>
              <w:pStyle w:val="Compact"/>
              <w:jc w:val="left"/>
            </w:pPr>
            <w:r>
              <w:t xml:space="preserve">Use UPS systems and cloud-based failover options.</w:t>
            </w:r>
          </w:p>
        </w:tc>
      </w:tr>
      <w:tr>
        <w:tc>
          <w:tcPr/>
          <w:p>
            <w:pPr>
              <w:pStyle w:val="Compact"/>
              <w:jc w:val="left"/>
            </w:pPr>
            <w:r>
              <w:t xml:space="preserve">Security Breaches</w:t>
            </w:r>
          </w:p>
        </w:tc>
        <w:tc>
          <w:tcPr/>
          <w:p>
            <w:pPr>
              <w:pStyle w:val="Compact"/>
              <w:jc w:val="left"/>
            </w:pPr>
            <w:r>
              <w:t xml:space="preserve">Critical</w:t>
            </w:r>
          </w:p>
        </w:tc>
        <w:tc>
          <w:tcPr/>
          <w:p>
            <w:pPr>
              <w:pStyle w:val="Compact"/>
              <w:jc w:val="left"/>
            </w:pPr>
            <w:r>
              <w:t xml:space="preserve">Enforce strict access controls, encryption, and regular audits.</w:t>
            </w:r>
          </w:p>
        </w:tc>
      </w:tr>
      <w:tr>
        <w:tc>
          <w:tcPr/>
          <w:p>
            <w:pPr>
              <w:pStyle w:val="Compact"/>
              <w:jc w:val="left"/>
            </w:pPr>
            <w:r>
              <w:t xml:space="preserve">Cookbook Errors</w:t>
            </w:r>
          </w:p>
        </w:tc>
        <w:tc>
          <w:tcPr/>
          <w:p>
            <w:pPr>
              <w:pStyle w:val="Compact"/>
              <w:jc w:val="left"/>
            </w:pPr>
            <w:r>
              <w:t xml:space="preserve">Medium</w:t>
            </w:r>
          </w:p>
        </w:tc>
        <w:tc>
          <w:tcPr/>
          <w:p>
            <w:pPr>
              <w:pStyle w:val="Compact"/>
              <w:jc w:val="left"/>
            </w:pPr>
            <w:r>
              <w:t xml:space="preserve">Conduct thorough testing and use version control for cookbooks.</w:t>
            </w:r>
          </w:p>
        </w:tc>
      </w:tr>
    </w:tbl>
    <w:bookmarkEnd w:id="30"/>
    <w:bookmarkStart w:id="31" w:name="expected-outcomes"/>
    <w:p>
      <w:pPr>
        <w:pStyle w:val="Heading2"/>
      </w:pPr>
      <w:r>
        <w:t xml:space="preserve">5. Expected Outcomes</w:t>
      </w:r>
    </w:p>
    <w:p>
      <w:pPr>
        <w:pStyle w:val="FirstParagraph"/>
      </w:pPr>
      <w:r>
        <w:t xml:space="preserve">This experiment aims to achieve the following outcomes:</w:t>
      </w:r>
    </w:p>
    <w:p>
      <w:pPr>
        <w:numPr>
          <w:ilvl w:val="0"/>
          <w:numId w:val="1005"/>
        </w:numPr>
        <w:pStyle w:val="Compact"/>
      </w:pPr>
      <w:r>
        <w:t xml:space="preserve">Demonstrate the feasibility of deploying Chef in Egypt Alexandria.</w:t>
      </w:r>
    </w:p>
    <w:p>
      <w:pPr>
        <w:numPr>
          <w:ilvl w:val="0"/>
          <w:numId w:val="1005"/>
        </w:numPr>
        <w:pStyle w:val="Compact"/>
      </w:pPr>
      <w:r>
        <w:t xml:space="preserve">Provide insights into performance optimization for local conditions.</w:t>
      </w:r>
    </w:p>
    <w:p>
      <w:pPr>
        <w:numPr>
          <w:ilvl w:val="0"/>
          <w:numId w:val="1005"/>
        </w:numPr>
        <w:pStyle w:val="Compact"/>
      </w:pPr>
      <w:r>
        <w:t xml:space="preserve">Develop reusable cookbooks tailored to regional needs.</w:t>
      </w:r>
    </w:p>
    <w:p>
      <w:pPr>
        <w:numPr>
          <w:ilvl w:val="0"/>
          <w:numId w:val="1005"/>
        </w:numPr>
        <w:pStyle w:val="Compact"/>
      </w:pPr>
      <w:r>
        <w:t xml:space="preserve">Establish best practices for Chef implementation in similar environments.</w:t>
      </w:r>
    </w:p>
    <w:bookmarkEnd w:id="31"/>
    <w:bookmarkStart w:id="32" w:name="conclusion"/>
    <w:p>
      <w:pPr>
        <w:pStyle w:val="Heading2"/>
      </w:pPr>
      <w:r>
        <w:t xml:space="preserve">6. Conclusion</w:t>
      </w:r>
    </w:p>
    <w:p>
      <w:pPr>
        <w:pStyle w:val="FirstParagraph"/>
      </w:pPr>
      <w:r>
        <w:t xml:space="preserve">This Experiment Protocol provides a comprehensive framework for evaluating Chef's capabilities in Egypt Alexandria. By adhering to this protocol, stakeholders can gain valuable insights into the tool's effectiveness, reliability, and adaptability in a real-world setting. The findings will contribute to the broader understanding of infrastructure automation in emerging tech hubs.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Egypt Alexandria</dc:title>
  <dc:creator/>
  <dc:language>en</dc:language>
  <cp:keywords/>
  <dcterms:created xsi:type="dcterms:W3CDTF">2026-10-10T03:41:33Z</dcterms:created>
  <dcterms:modified xsi:type="dcterms:W3CDTF">2026-10-10T03:41:33Z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