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Deployment</w:t>
      </w:r>
      <w:r>
        <w:t xml:space="preserve"> </w:t>
      </w:r>
      <w:r>
        <w:t xml:space="preserve">in</w:t>
      </w:r>
      <w:r>
        <w:t xml:space="preserve"> </w:t>
      </w:r>
      <w:r>
        <w:t xml:space="preserve">Germany</w:t>
      </w:r>
      <w:r>
        <w:t xml:space="preserve"> </w:t>
      </w:r>
      <w:r>
        <w:t xml:space="preserve">Frankfurt</w:t>
      </w:r>
    </w:p>
    <w:bookmarkStart w:id="20" w:name="Xe5a2e237c3e8bd9658f62b638688fd432bfe461"/>
    <w:p>
      <w:pPr>
        <w:pStyle w:val="Heading1"/>
      </w:pPr>
      <w:r>
        <w:t xml:space="preserve">Experiment Protocol: Chef Infrastructure Deployment in Germany Frankfurt</w:t>
      </w:r>
    </w:p>
    <w:p>
      <w:pPr>
        <w:pStyle w:val="FirstParagraph"/>
      </w:pPr>
      <w:r>
        <w:rPr>
          <w:bCs/>
          <w:b/>
        </w:rPr>
        <w:t xml:space="preserve">Document ID:</w:t>
      </w:r>
      <w:r>
        <w:t xml:space="preserve"> </w:t>
      </w:r>
      <w:r>
        <w:t xml:space="preserve">EXP-CHEF-FRA-2023-001</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Frankfurt, Germany (EU-Central Region)</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systematic approach to deploying, configuring, and testing Chef Infrastructure Automation within a controlled environment located in Frankfurt, Germany. The primary objective is to evaluate the performance, compliance, and reliability of Chef in managing infrastructure as code (IaC) for a distributed application stack.</w:t>
      </w:r>
    </w:p>
    <w:p>
      <w:pPr>
        <w:pStyle w:val="BodyText"/>
      </w:pPr>
      <w:r>
        <w:t xml:space="preserve">Frankfurt, Germany, is selected as the deployment site due to its strategic position as a major data center hub in Europe, offering low-latency connectivity and robust compliance frameworks. This experiment aims to validate Chef's capability to handle complex configurations while adhering to local regulatory requirements.</w:t>
      </w:r>
    </w:p>
    <w:bookmarkEnd w:id="21"/>
    <w:bookmarkStart w:id="24" w:name="scope-and-environment"/>
    <w:p>
      <w:pPr>
        <w:pStyle w:val="Heading2"/>
      </w:pPr>
      <w:r>
        <w:t xml:space="preserve">2. Scope and Environment</w:t>
      </w:r>
    </w:p>
    <w:bookmarkStart w:id="22" w:name="geographic-and-regulatory-context"/>
    <w:p>
      <w:pPr>
        <w:pStyle w:val="Heading3"/>
      </w:pPr>
      <w:r>
        <w:t xml:space="preserve">2.1 Geographic and Regulatory Context</w:t>
      </w:r>
    </w:p>
    <w:p>
      <w:pPr>
        <w:pStyle w:val="FirstParagraph"/>
      </w:pPr>
      <w:r>
        <w:t xml:space="preserve">All infrastructure components will be hosted in Frankfurt, Germany, to ensure data residency compliance with the General Data Protection Regulation (GDPR). The experiment will focus on leveraging Chef's features to enforce security policies and maintain audit trails required by German data protection laws.</w:t>
      </w:r>
    </w:p>
    <w:bookmarkEnd w:id="22"/>
    <w:bookmarkStart w:id="23" w:name="technical-environment"/>
    <w:p>
      <w:pPr>
        <w:pStyle w:val="Heading3"/>
      </w:pPr>
      <w:r>
        <w:t xml:space="preserve">2.2 Technical Environment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Specification</w:t>
            </w:r>
          </w:p>
        </w:tc>
      </w:tr>
      <w:tr>
        <w:tc>
          <w:tcPr/>
          <w:p>
            <w:pPr>
              <w:pStyle w:val="Compact"/>
              <w:jc w:val="left"/>
            </w:pPr>
            <w:r>
              <w:t xml:space="preserve">Chef Server</w:t>
            </w:r>
          </w:p>
        </w:tc>
        <w:tc>
          <w:tcPr/>
          <w:p>
            <w:pPr>
              <w:pStyle w:val="Compact"/>
              <w:jc w:val="left"/>
            </w:pPr>
            <w:r>
              <w:t xml:space="preserve">Version 18.x, deployed on Ubuntu 22.04 LTS</w:t>
            </w:r>
          </w:p>
        </w:tc>
      </w:tr>
      <w:tr>
        <w:tc>
          <w:tcPr/>
          <w:p>
            <w:pPr>
              <w:pStyle w:val="Compact"/>
              <w:jc w:val="left"/>
            </w:pPr>
            <w:r>
              <w:t xml:space="preserve">Chef Workstations</w:t>
            </w:r>
          </w:p>
        </w:tc>
        <w:tc>
          <w:tcPr/>
          <w:p>
            <w:pPr>
              <w:pStyle w:val="Compact"/>
              <w:jc w:val="left"/>
            </w:pPr>
            <w:r>
              <w:t xml:space="preserve">2 nodes with Chef Workstation installed</w:t>
            </w:r>
          </w:p>
        </w:tc>
      </w:tr>
      <w:tr>
        <w:tc>
          <w:tcPr/>
          <w:p>
            <w:pPr>
              <w:pStyle w:val="Compact"/>
              <w:jc w:val="left"/>
            </w:pPr>
            <w:r>
              <w:t xml:space="preserve">Managed Nodes</w:t>
            </w:r>
          </w:p>
        </w:tc>
        <w:tc>
          <w:tcPr/>
          <w:p>
            <w:pPr>
              <w:pStyle w:val="Compact"/>
              <w:jc w:val="left"/>
            </w:pPr>
            <w:r>
              <w:t xml:space="preserve">10 nodes (mix of Linux and Windows)</w:t>
            </w:r>
          </w:p>
        </w:tc>
      </w:tr>
      <w:tr>
        <w:tc>
          <w:tcPr/>
          <w:p>
            <w:pPr>
              <w:pStyle w:val="Compact"/>
              <w:jc w:val="left"/>
            </w:pPr>
            <w:r>
              <w:t xml:space="preserve">Cloud Provider</w:t>
            </w:r>
          </w:p>
        </w:tc>
        <w:tc>
          <w:tcPr/>
          <w:p>
            <w:pPr>
              <w:pStyle w:val="Compact"/>
              <w:jc w:val="left"/>
            </w:pPr>
            <w:r>
              <w:t xml:space="preserve">Frankfurt-based region (e.g., AWS eu-central-1)</w:t>
            </w:r>
          </w:p>
        </w:tc>
      </w:tr>
    </w:tbl>
    <w:bookmarkEnd w:id="23"/>
    <w:bookmarkEnd w:id="24"/>
    <w:bookmarkStart w:id="27" w:name="experiment-design"/>
    <w:p>
      <w:pPr>
        <w:pStyle w:val="Heading2"/>
      </w:pPr>
      <w:r>
        <w:t xml:space="preserve">3. Experiment Design</w:t>
      </w:r>
    </w:p>
    <w:bookmarkStart w:id="25" w:name="hypothesis"/>
    <w:p>
      <w:pPr>
        <w:pStyle w:val="Heading3"/>
      </w:pPr>
      <w:r>
        <w:t xml:space="preserve">3.1 Hypothesis</w:t>
      </w:r>
    </w:p>
    <w:p>
      <w:pPr>
        <w:pStyle w:val="FirstParagraph"/>
      </w:pPr>
      <w:r>
        <w:t xml:space="preserve">We hypothesize that Chef can efficiently manage infrastructure configurations in Frankfurt, Germany, with minimal latency and full compliance with local regulations. Additionally, we expect Chef's idempotent operations to reduce configuration drift by at least 90%.</w:t>
      </w:r>
    </w:p>
    <w:bookmarkEnd w:id="25"/>
    <w:bookmarkStart w:id="26" w:name="variables"/>
    <w:p>
      <w:pPr>
        <w:pStyle w:val="Heading3"/>
      </w:pPr>
      <w:r>
        <w:t xml:space="preserve">3.2 Variables</w:t>
      </w:r>
    </w:p>
    <w:p>
      <w:pPr>
        <w:numPr>
          <w:ilvl w:val="0"/>
          <w:numId w:val="1001"/>
        </w:numPr>
        <w:pStyle w:val="Compact"/>
      </w:pPr>
      <w:r>
        <w:rPr>
          <w:bCs/>
          <w:b/>
        </w:rPr>
        <w:t xml:space="preserve">Independent Variable:</w:t>
      </w:r>
      <w:r>
        <w:t xml:space="preserve"> </w:t>
      </w:r>
      <w:r>
        <w:t xml:space="preserve">Chef configuration recipes and cookbooks.</w:t>
      </w:r>
    </w:p>
    <w:p>
      <w:pPr>
        <w:numPr>
          <w:ilvl w:val="0"/>
          <w:numId w:val="1001"/>
        </w:numPr>
        <w:pStyle w:val="Compact"/>
      </w:pPr>
      <w:r>
        <w:rPr>
          <w:bCs/>
          <w:b/>
        </w:rPr>
        <w:t xml:space="preserve">Dependent Variables:</w:t>
      </w:r>
      <w:r>
        <w:t xml:space="preserve"> </w:t>
      </w:r>
      <w:r>
        <w:t xml:space="preserve">Deployment time, configuration accuracy, compliance status, and system performance.</w:t>
      </w:r>
    </w:p>
    <w:p>
      <w:pPr>
        <w:numPr>
          <w:ilvl w:val="0"/>
          <w:numId w:val="1001"/>
        </w:numPr>
        <w:pStyle w:val="Compact"/>
      </w:pPr>
      <w:r>
        <w:rPr>
          <w:bCs/>
          <w:b/>
        </w:rPr>
        <w:t xml:space="preserve">Controlled Variables:</w:t>
      </w:r>
      <w:r>
        <w:t xml:space="preserve"> </w:t>
      </w:r>
      <w:r>
        <w:t xml:space="preserve">Network conditions, hardware specifications, and software versions.</w:t>
      </w:r>
    </w:p>
    <w:bookmarkEnd w:id="26"/>
    <w:bookmarkEnd w:id="27"/>
    <w:bookmarkStart w:id="32" w:name="methodology"/>
    <w:p>
      <w:pPr>
        <w:pStyle w:val="Heading2"/>
      </w:pPr>
      <w:r>
        <w:t xml:space="preserve">4. Methodology</w:t>
      </w:r>
    </w:p>
    <w:bookmarkStart w:id="28" w:name="setup-phase"/>
    <w:p>
      <w:pPr>
        <w:pStyle w:val="Heading3"/>
      </w:pPr>
      <w:r>
        <w:t xml:space="preserve">4.1 Setup Phase</w:t>
      </w:r>
    </w:p>
    <w:p>
      <w:pPr>
        <w:numPr>
          <w:ilvl w:val="0"/>
          <w:numId w:val="1002"/>
        </w:numPr>
        <w:pStyle w:val="Compact"/>
      </w:pPr>
      <w:r>
        <w:t xml:space="preserve">Provision a Chef Server in Frankfurt, Germany, ensuring high availability and encryption at rest.</w:t>
      </w:r>
    </w:p>
    <w:p>
      <w:pPr>
        <w:numPr>
          <w:ilvl w:val="0"/>
          <w:numId w:val="1002"/>
        </w:numPr>
        <w:pStyle w:val="Compact"/>
      </w:pPr>
      <w:r>
        <w:t xml:space="preserve">Configure Chef Workstations with necessary credentials and access to the Chef Server.</w:t>
      </w:r>
    </w:p>
    <w:p>
      <w:pPr>
        <w:numPr>
          <w:ilvl w:val="0"/>
          <w:numId w:val="1002"/>
        </w:numPr>
        <w:pStyle w:val="Compact"/>
      </w:pPr>
      <w:r>
        <w:t xml:space="preserve">Deploy managed nodes in the same region to minimize network latency.</w:t>
      </w:r>
    </w:p>
    <w:bookmarkEnd w:id="28"/>
    <w:bookmarkStart w:id="29" w:name="configuration-phase"/>
    <w:p>
      <w:pPr>
        <w:pStyle w:val="Heading3"/>
      </w:pPr>
      <w:r>
        <w:t xml:space="preserve">4.2 Configuration Phase</w:t>
      </w:r>
    </w:p>
    <w:p>
      <w:pPr>
        <w:numPr>
          <w:ilvl w:val="0"/>
          <w:numId w:val="1003"/>
        </w:numPr>
        <w:pStyle w:val="Compact"/>
      </w:pPr>
      <w:r>
        <w:t xml:space="preserve">Develop cookbooks tailored to the application stack, incorporating Frankfurt-specific compliance rules.</w:t>
      </w:r>
    </w:p>
    <w:p>
      <w:pPr>
        <w:numPr>
          <w:ilvl w:val="0"/>
          <w:numId w:val="1003"/>
        </w:numPr>
        <w:pStyle w:val="Compact"/>
      </w:pPr>
      <w:r>
        <w:t xml:space="preserve">Use Chef InSpec to define and enforce security policies aligned with GDPR requirements.</w:t>
      </w:r>
    </w:p>
    <w:p>
      <w:pPr>
        <w:numPr>
          <w:ilvl w:val="0"/>
          <w:numId w:val="1003"/>
        </w:numPr>
        <w:pStyle w:val="Compact"/>
      </w:pPr>
      <w:r>
        <w:t xml:space="preserve">Test recipes in a staging environment before applying them to production nodes.</w:t>
      </w:r>
    </w:p>
    <w:bookmarkEnd w:id="29"/>
    <w:bookmarkStart w:id="30" w:name="execution-phase"/>
    <w:p>
      <w:pPr>
        <w:pStyle w:val="Heading3"/>
      </w:pPr>
      <w:r>
        <w:t xml:space="preserve">4.3 Execution Phase</w:t>
      </w:r>
    </w:p>
    <w:p>
      <w:pPr>
        <w:numPr>
          <w:ilvl w:val="0"/>
          <w:numId w:val="1004"/>
        </w:numPr>
        <w:pStyle w:val="Compact"/>
      </w:pPr>
      <w:r>
        <w:t xml:space="preserve">Run Chef Client on managed nodes to apply configurations.</w:t>
      </w:r>
    </w:p>
    <w:p>
      <w:pPr>
        <w:numPr>
          <w:ilvl w:val="0"/>
          <w:numId w:val="1004"/>
        </w:numPr>
        <w:pStyle w:val="Compact"/>
      </w:pPr>
      <w:r>
        <w:t xml:space="preserve">Monitor deployment logs for errors or warnings.</w:t>
      </w:r>
    </w:p>
    <w:p>
      <w:pPr>
        <w:numPr>
          <w:ilvl w:val="0"/>
          <w:numId w:val="1004"/>
        </w:numPr>
        <w:pStyle w:val="Compact"/>
      </w:pPr>
      <w:r>
        <w:t xml:space="preserve">Validate configurations using Chef InSpec profiles.</w:t>
      </w:r>
    </w:p>
    <w:bookmarkEnd w:id="30"/>
    <w:bookmarkStart w:id="31" w:name="evaluation-phase"/>
    <w:p>
      <w:pPr>
        <w:pStyle w:val="Heading3"/>
      </w:pPr>
      <w:r>
        <w:t xml:space="preserve">4.4 Evaluation Phase</w:t>
      </w:r>
    </w:p>
    <w:p>
      <w:pPr>
        <w:numPr>
          <w:ilvl w:val="0"/>
          <w:numId w:val="1005"/>
        </w:numPr>
        <w:pStyle w:val="Compact"/>
      </w:pPr>
      <w:r>
        <w:t xml:space="preserve">Measure deployment time and compare it against baseline metrics.</w:t>
      </w:r>
    </w:p>
    <w:p>
      <w:pPr>
        <w:numPr>
          <w:ilvl w:val="0"/>
          <w:numId w:val="1005"/>
        </w:numPr>
        <w:pStyle w:val="Compact"/>
      </w:pPr>
      <w:r>
        <w:t xml:space="preserve">Assess configuration accuracy by checking for drift.</w:t>
      </w:r>
    </w:p>
    <w:p>
      <w:pPr>
        <w:numPr>
          <w:ilvl w:val="0"/>
          <w:numId w:val="1005"/>
        </w:numPr>
        <w:pStyle w:val="Compact"/>
      </w:pPr>
      <w:r>
        <w:t xml:space="preserve">Review compliance reports to ensure adherence to German regulations.</w:t>
      </w:r>
    </w:p>
    <w:bookmarkEnd w:id="31"/>
    <w:bookmarkEnd w:id="32"/>
    <w:bookmarkStart w:id="33" w:name="data-collection-and-analysis"/>
    <w:p>
      <w:pPr>
        <w:pStyle w:val="Heading2"/>
      </w:pPr>
      <w:r>
        <w:t xml:space="preserve">5. Data Collection and Analysis</w:t>
      </w:r>
    </w:p>
    <w:p>
      <w:pPr>
        <w:pStyle w:val="FirstParagraph"/>
      </w:pPr>
      <w:r>
        <w:t xml:space="preserve">Data will be collected through Chef Server logs, InSpec reports, and custom monitoring tools. Key metrics include:</w:t>
      </w:r>
    </w:p>
    <w:p>
      <w:pPr>
        <w:numPr>
          <w:ilvl w:val="0"/>
          <w:numId w:val="1006"/>
        </w:numPr>
        <w:pStyle w:val="Compact"/>
      </w:pPr>
      <w:r>
        <w:t xml:space="preserve">Time taken for initial and subsequent Chef Client runs.</w:t>
      </w:r>
    </w:p>
    <w:p>
      <w:pPr>
        <w:numPr>
          <w:ilvl w:val="0"/>
          <w:numId w:val="1006"/>
        </w:numPr>
        <w:pStyle w:val="Compact"/>
      </w:pPr>
      <w:r>
        <w:t xml:space="preserve">Number of configuration errors or failures.</w:t>
      </w:r>
    </w:p>
    <w:p>
      <w:pPr>
        <w:numPr>
          <w:ilvl w:val="0"/>
          <w:numId w:val="1006"/>
        </w:numPr>
        <w:pStyle w:val="Compact"/>
      </w:pPr>
      <w:r>
        <w:t xml:space="preserve">Compliance score based on InSpec audits.</w:t>
      </w:r>
    </w:p>
    <w:p>
      <w:pPr>
        <w:numPr>
          <w:ilvl w:val="0"/>
          <w:numId w:val="1006"/>
        </w:numPr>
        <w:pStyle w:val="Compact"/>
      </w:pPr>
      <w:r>
        <w:t xml:space="preserve">Network latency between Chef Server and managed nodes.</w:t>
      </w:r>
    </w:p>
    <w:p>
      <w:pPr>
        <w:pStyle w:val="FirstParagraph"/>
      </w:pPr>
      <w:r>
        <w:t xml:space="preserve">Statistical analysis will be performed to determine the effectiveness of Chef in meeting the experiment's objectives.</w:t>
      </w:r>
    </w:p>
    <w:bookmarkEnd w:id="33"/>
    <w:bookmarkStart w:id="34" w:name="risk-management"/>
    <w:p>
      <w:pPr>
        <w:pStyle w:val="Heading2"/>
      </w:pPr>
      <w:r>
        <w:t xml:space="preserve">6. Risk Management</w:t>
      </w:r>
    </w:p>
    <w:p>
      <w:pPr>
        <w:pStyle w:val="FirstParagraph"/>
      </w:pPr>
      <w:r>
        <w:t xml:space="preserve">Potential risks include network outages, configuration errors, and non-compliance with local regulations. Mitigation strategies involve:</w:t>
      </w:r>
    </w:p>
    <w:p>
      <w:pPr>
        <w:numPr>
          <w:ilvl w:val="0"/>
          <w:numId w:val="1007"/>
        </w:numPr>
        <w:pStyle w:val="Compact"/>
      </w:pPr>
      <w:r>
        <w:t xml:space="preserve">Implementing redundant network paths.</w:t>
      </w:r>
    </w:p>
    <w:p>
      <w:pPr>
        <w:numPr>
          <w:ilvl w:val="0"/>
          <w:numId w:val="1007"/>
        </w:numPr>
        <w:pStyle w:val="Compact"/>
      </w:pPr>
      <w:r>
        <w:t xml:space="preserve">Using version control for all Chef code.</w:t>
      </w:r>
    </w:p>
    <w:p>
      <w:pPr>
        <w:numPr>
          <w:ilvl w:val="0"/>
          <w:numId w:val="1007"/>
        </w:numPr>
        <w:pStyle w:val="Compact"/>
      </w:pPr>
      <w:r>
        <w:t xml:space="preserve">Conducting regular compliance audits.</w:t>
      </w:r>
    </w:p>
    <w:bookmarkEnd w:id="34"/>
    <w:bookmarkStart w:id="35" w:name="conclusion"/>
    <w:p>
      <w:pPr>
        <w:pStyle w:val="Heading2"/>
      </w:pPr>
      <w:r>
        <w:t xml:space="preserve">7. Conclusion</w:t>
      </w:r>
    </w:p>
    <w:p>
      <w:pPr>
        <w:pStyle w:val="FirstParagraph"/>
      </w:pPr>
      <w:r>
        <w:t xml:space="preserve">This Experiment Protocol provides a structured approach to evaluating Chef's capabilities in Frankfurt, Germany. By focusing on performance, compliance, and reliability, we aim to demonstrate Chef's suitability for managing infrastructure in a regulated environment. The results of this experiment will inform future deployment strategies and best practices.</w:t>
      </w:r>
    </w:p>
    <w:bookmarkEnd w:id="35"/>
    <w:bookmarkStart w:id="38" w:name="appendices"/>
    <w:p>
      <w:pPr>
        <w:pStyle w:val="Heading2"/>
      </w:pPr>
      <w:r>
        <w:t xml:space="preserve">8. Appendices</w:t>
      </w:r>
    </w:p>
    <w:bookmarkStart w:id="36" w:name="appendix-a-glossary"/>
    <w:p>
      <w:pPr>
        <w:pStyle w:val="Heading3"/>
      </w:pPr>
      <w:r>
        <w:t xml:space="preserve">Appendix A: Glossary</w:t>
      </w:r>
    </w:p>
    <w:p>
      <w:pPr>
        <w:numPr>
          <w:ilvl w:val="0"/>
          <w:numId w:val="1008"/>
        </w:numPr>
        <w:pStyle w:val="Compact"/>
      </w:pPr>
      <w:r>
        <w:rPr>
          <w:bCs/>
          <w:b/>
        </w:rPr>
        <w:t xml:space="preserve">Chef:</w:t>
      </w:r>
      <w:r>
        <w:t xml:space="preserve"> </w:t>
      </w:r>
      <w:r>
        <w:t xml:space="preserve">An infrastructure automation platform.</w:t>
      </w:r>
    </w:p>
    <w:p>
      <w:pPr>
        <w:numPr>
          <w:ilvl w:val="0"/>
          <w:numId w:val="1008"/>
        </w:numPr>
        <w:pStyle w:val="Compact"/>
      </w:pPr>
      <w:r>
        <w:rPr>
          <w:bCs/>
          <w:b/>
        </w:rPr>
        <w:t xml:space="preserve">GDPR:</w:t>
      </w:r>
      <w:r>
        <w:t xml:space="preserve"> </w:t>
      </w:r>
      <w:r>
        <w:t xml:space="preserve">General Data Protection Regulation.</w:t>
      </w:r>
    </w:p>
    <w:p>
      <w:pPr>
        <w:numPr>
          <w:ilvl w:val="0"/>
          <w:numId w:val="1008"/>
        </w:numPr>
        <w:pStyle w:val="Compact"/>
      </w:pPr>
      <w:r>
        <w:rPr>
          <w:bCs/>
          <w:b/>
        </w:rPr>
        <w:t xml:space="preserve">IaC:</w:t>
      </w:r>
      <w:r>
        <w:t xml:space="preserve"> </w:t>
      </w:r>
      <w:r>
        <w:t xml:space="preserve">Infrastructure as Code.</w:t>
      </w:r>
    </w:p>
    <w:bookmarkEnd w:id="36"/>
    <w:bookmarkStart w:id="37" w:name="appendix-b-references"/>
    <w:p>
      <w:pPr>
        <w:pStyle w:val="Heading3"/>
      </w:pPr>
      <w:r>
        <w:t xml:space="preserve">Appendix B: References</w:t>
      </w:r>
    </w:p>
    <w:p>
      <w:pPr>
        <w:numPr>
          <w:ilvl w:val="0"/>
          <w:numId w:val="1009"/>
        </w:numPr>
        <w:pStyle w:val="Compact"/>
      </w:pPr>
      <w:r>
        <w:t xml:space="preserve">Chef Official Documentation</w:t>
      </w:r>
    </w:p>
    <w:p>
      <w:pPr>
        <w:numPr>
          <w:ilvl w:val="0"/>
          <w:numId w:val="1009"/>
        </w:numPr>
        <w:pStyle w:val="Compact"/>
      </w:pPr>
      <w:r>
        <w:t xml:space="preserve">GDPR Compliance Guidelines</w:t>
      </w:r>
    </w:p>
    <w:p>
      <w:pPr>
        <w:numPr>
          <w:ilvl w:val="0"/>
          <w:numId w:val="1009"/>
        </w:numPr>
        <w:pStyle w:val="Compact"/>
      </w:pPr>
      <w:r>
        <w:t xml:space="preserve">Frankfurt Data Center Standards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Deployment in Germany Frankfurt</dc:title>
  <dc:creator/>
  <dc:language>en</dc:language>
  <cp:keywords/>
  <dcterms:created xsi:type="dcterms:W3CDTF">2026-10-10T07:26:37Z</dcterms:created>
  <dcterms:modified xsi:type="dcterms:W3CDTF">2026-10-10T07:26:37Z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