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Configuration</w:t>
      </w:r>
      <w:r>
        <w:t xml:space="preserve"> </w:t>
      </w:r>
      <w:r>
        <w:t xml:space="preserve">in</w:t>
      </w:r>
      <w:r>
        <w:t xml:space="preserve"> </w:t>
      </w:r>
      <w:r>
        <w:t xml:space="preserve">Riyadh</w:t>
      </w:r>
    </w:p>
    <w:bookmarkStart w:id="37" w:name="X516b6dc3509a1e77ee6e253844d628b70aa9398"/>
    <w:p>
      <w:pPr>
        <w:pStyle w:val="Heading1"/>
      </w:pPr>
      <w:r>
        <w:t xml:space="preserve">Experiment Protocol: Infrastructure Automation via Chef in Saudi Arabia Riyadh</w:t>
      </w:r>
    </w:p>
    <w:p>
      <w:pPr>
        <w:pStyle w:val="FirstParagraph"/>
      </w:pPr>
      <w:r>
        <w:rPr>
          <w:bCs/>
          <w:b/>
        </w:rPr>
        <w:t xml:space="preserve">Document ID:</w:t>
      </w:r>
      <w:r>
        <w:t xml:space="preserve"> </w:t>
      </w:r>
      <w:r>
        <w:t xml:space="preserve">EXP-RIYADH-CHEF-2024-001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Riyadh, Saudi Arabia</w:t>
      </w:r>
    </w:p>
    <w:p>
      <w:pPr>
        <w:pStyle w:val="BodyText"/>
      </w:pPr>
      <w:r>
        <w:rPr>
          <w:bCs/>
          <w:b/>
        </w:rPr>
        <w:t xml:space="preserve">Subject:</w:t>
      </w:r>
      <w:r>
        <w:t xml:space="preserve"> </w:t>
      </w:r>
      <w:r>
        <w:t xml:space="preserve">Deployment and Performance Analysis of Chef Configuration Management</w:t>
      </w:r>
    </w:p>
    <w:bookmarkStart w:id="20" w:name="introduction-and-objective"/>
    <w:p>
      <w:pPr>
        <w:pStyle w:val="Heading2"/>
      </w:pPr>
      <w:r>
        <w:t xml:space="preserve">1. Introduction and Objective</w:t>
      </w:r>
    </w:p>
    <w:p>
      <w:pPr>
        <w:pStyle w:val="FirstParagraph"/>
      </w:pPr>
      <w:r>
        <w:t xml:space="preserve">This Experiment Protocol outlines the methodology for deploying, configuring, and evaluating the Chef infrastructure automation tool within a controlled environment located in Riyadh, Saudi Arabia. The primary objective is to assess the efficacy of Chef in managing server configurations, ensuring compliance with local data sovereignty regulations, and optimizing deployment workflows for enterprise applications.</w:t>
      </w:r>
    </w:p>
    <w:p>
      <w:pPr>
        <w:pStyle w:val="BodyText"/>
      </w:pPr>
      <w:r>
        <w:t xml:space="preserve">As Riyadh continues to emerge as a global technology hub under the Vision 2030 initiative, the demand for robust, scalable, and secure infrastructure automation is critical. This experiment aims to validate Chef's capability to handle complex infrastructure requirements while adhering to the specific technical and regulatory landscape of the Kingdom of Saudi Arabia.</w:t>
      </w:r>
    </w:p>
    <w:bookmarkEnd w:id="20"/>
    <w:bookmarkStart w:id="23" w:name="scope-and-environment"/>
    <w:p>
      <w:pPr>
        <w:pStyle w:val="Heading2"/>
      </w:pPr>
      <w:r>
        <w:t xml:space="preserve">2. Scope and Environment</w:t>
      </w:r>
    </w:p>
    <w:p>
      <w:pPr>
        <w:pStyle w:val="FirstParagraph"/>
      </w:pPr>
      <w:r>
        <w:t xml:space="preserve">The scope of this experiment is limited to the deployment of a Chef Server, Chef Workstations, and Chef Clients within a private cloud infrastructure hosted in the Riyadh region. The environment will simulate a production-like setup to ensure realistic performance metrics.</w:t>
      </w:r>
    </w:p>
    <w:bookmarkStart w:id="21" w:name="technical-environment"/>
    <w:p>
      <w:pPr>
        <w:pStyle w:val="Heading3"/>
      </w:pPr>
      <w:r>
        <w:t xml:space="preserve">2.1 Technical Environment</w:t>
      </w:r>
    </w:p>
    <w:p>
      <w:pPr>
        <w:numPr>
          <w:ilvl w:val="0"/>
          <w:numId w:val="1001"/>
        </w:numPr>
        <w:pStyle w:val="Compact"/>
      </w:pPr>
      <w:r>
        <w:rPr>
          <w:bCs/>
          <w:b/>
        </w:rPr>
        <w:t xml:space="preserve">Operating System:</w:t>
      </w:r>
      <w:r>
        <w:t xml:space="preserve"> </w:t>
      </w:r>
      <w:r>
        <w:t xml:space="preserve">Ubuntu 22.04 LTS and RHEL 8.</w:t>
      </w:r>
    </w:p>
    <w:p>
      <w:pPr>
        <w:numPr>
          <w:ilvl w:val="0"/>
          <w:numId w:val="1001"/>
        </w:numPr>
        <w:pStyle w:val="Compact"/>
      </w:pPr>
      <w:r>
        <w:rPr>
          <w:bCs/>
          <w:b/>
        </w:rPr>
        <w:t xml:space="preserve">Chef Version:</w:t>
      </w:r>
      <w:r>
        <w:t xml:space="preserve"> </w:t>
      </w:r>
      <w:r>
        <w:t xml:space="preserve">Chef Infra Server 18.x and Chef Workstation 22.x.</w:t>
      </w:r>
    </w:p>
    <w:p>
      <w:pPr>
        <w:numPr>
          <w:ilvl w:val="0"/>
          <w:numId w:val="1001"/>
        </w:numPr>
        <w:pStyle w:val="Compact"/>
      </w:pPr>
      <w:r>
        <w:rPr>
          <w:bCs/>
          <w:b/>
        </w:rPr>
        <w:t xml:space="preserve">Network:</w:t>
      </w:r>
      <w:r>
        <w:t xml:space="preserve"> </w:t>
      </w:r>
      <w:r>
        <w:t xml:space="preserve">Isolated Virtual Private Cloud (VPC) within a Riyadh-based data center to ensure low latency and data residency compliance.</w:t>
      </w:r>
    </w:p>
    <w:p>
      <w:pPr>
        <w:numPr>
          <w:ilvl w:val="0"/>
          <w:numId w:val="1001"/>
        </w:numPr>
        <w:pStyle w:val="Compact"/>
      </w:pPr>
      <w:r>
        <w:rPr>
          <w:bCs/>
          <w:b/>
        </w:rPr>
        <w:t xml:space="preserve">Hardware:</w:t>
      </w:r>
      <w:r>
        <w:t xml:space="preserve"> </w:t>
      </w:r>
      <w:r>
        <w:t xml:space="preserve">Virtual machines with 4 vCPUs, 16GB RAM, and 100GB SSD storage.</w:t>
      </w:r>
    </w:p>
    <w:bookmarkEnd w:id="21"/>
    <w:bookmarkStart w:id="22" w:name="regulatory-compliance"/>
    <w:p>
      <w:pPr>
        <w:pStyle w:val="Heading3"/>
      </w:pPr>
      <w:r>
        <w:t xml:space="preserve">2.2 Regulatory Compliance</w:t>
      </w:r>
    </w:p>
    <w:p>
      <w:pPr>
        <w:pStyle w:val="FirstParagraph"/>
      </w:pPr>
      <w:r>
        <w:t xml:space="preserve">All data generated during this experiment must remain within the borders of Saudi Arabia. The Chef Server will be configured to store all node data, cookbooks, and reports locally, ensuring compliance with the National Cybersecurity Authority (NCA) guidelines.</w:t>
      </w:r>
    </w:p>
    <w:bookmarkEnd w:id="22"/>
    <w:bookmarkEnd w:id="23"/>
    <w:bookmarkStart w:id="27" w:name="experimental-setup"/>
    <w:p>
      <w:pPr>
        <w:pStyle w:val="Heading2"/>
      </w:pPr>
      <w:r>
        <w:t xml:space="preserve">3. Experimental Setup</w:t>
      </w:r>
    </w:p>
    <w:p>
      <w:pPr>
        <w:pStyle w:val="FirstParagraph"/>
      </w:pPr>
      <w:r>
        <w:t xml:space="preserve">The setup phase involves the installation and configuration of the Chef ecosystem components. This phase is critical to ensure that the Chef Server is operational and accessible by all client nodes.</w:t>
      </w:r>
    </w:p>
    <w:bookmarkStart w:id="24" w:name="chef-server-installation"/>
    <w:p>
      <w:pPr>
        <w:pStyle w:val="Heading3"/>
      </w:pPr>
      <w:r>
        <w:t xml:space="preserve">3.1 Chef Server Installation</w:t>
      </w:r>
    </w:p>
    <w:p>
      <w:pPr>
        <w:pStyle w:val="FirstParagraph"/>
      </w:pPr>
      <w:r>
        <w:t xml:space="preserve">The Chef Server will be installed on a dedicated virtual machine. The installation process will follow the official Chef documentation, ensuring that all dependencies are met. The server will be configured with a fully qualified domain name (FQDN) that resolves internally within the Riyadh network.</w:t>
      </w:r>
    </w:p>
    <w:bookmarkEnd w:id="24"/>
    <w:bookmarkStart w:id="25" w:name="chef-workstation-configuration"/>
    <w:p>
      <w:pPr>
        <w:pStyle w:val="Heading3"/>
      </w:pPr>
      <w:r>
        <w:t xml:space="preserve">3.2 Chef Workstation Configuration</w:t>
      </w:r>
    </w:p>
    <w:p>
      <w:pPr>
        <w:pStyle w:val="FirstParagraph"/>
      </w:pPr>
      <w:r>
        <w:t xml:space="preserve">A Chef Workstation will be set up to manage the infrastructure. This workstation will be used to write cookbooks, manage roles, and upload configurations to the Chef Server. The workstation will be configured with the necessary credentials to authenticate with the Chef Server.</w:t>
      </w:r>
    </w:p>
    <w:bookmarkEnd w:id="25"/>
    <w:bookmarkStart w:id="26" w:name="chef-client-registration"/>
    <w:p>
      <w:pPr>
        <w:pStyle w:val="Heading3"/>
      </w:pPr>
      <w:r>
        <w:t xml:space="preserve">3.3 Chef Client Registration</w:t>
      </w:r>
    </w:p>
    <w:p>
      <w:pPr>
        <w:pStyle w:val="FirstParagraph"/>
      </w:pPr>
      <w:r>
        <w:t xml:space="preserve">Multiple Chef Clients will be installed on target nodes. Each client will be registered with the Chef Server using a unique node name. The registration process will involve generating a client key and configuring the client.rb file to point to the Chef Server.</w:t>
      </w:r>
    </w:p>
    <w:bookmarkEnd w:id="26"/>
    <w:bookmarkEnd w:id="27"/>
    <w:bookmarkStart w:id="31" w:name="methodology"/>
    <w:p>
      <w:pPr>
        <w:pStyle w:val="Heading2"/>
      </w:pPr>
      <w:r>
        <w:t xml:space="preserve">4. Methodology</w:t>
      </w:r>
    </w:p>
    <w:p>
      <w:pPr>
        <w:pStyle w:val="FirstParagraph"/>
      </w:pPr>
      <w:r>
        <w:t xml:space="preserve">The experiment will be conducted in three phases: Configuration, Execution, and Evaluation.</w:t>
      </w:r>
    </w:p>
    <w:bookmarkStart w:id="28" w:name="phase-1-configuration"/>
    <w:p>
      <w:pPr>
        <w:pStyle w:val="Heading3"/>
      </w:pPr>
      <w:r>
        <w:t xml:space="preserve">4.1 Phase 1: Configuration</w:t>
      </w:r>
    </w:p>
    <w:p>
      <w:pPr>
        <w:pStyle w:val="FirstParagraph"/>
      </w:pPr>
      <w:r>
        <w:t xml:space="preserve">In this phase, cookbooks will be developed to configure the target nodes. The cookbooks will include recipes for installing web servers, configuring firewalls, and setting up monitoring tools. The cookbooks will be written using Ruby DSL and will follow best practices for modularity and reusability.</w:t>
      </w:r>
    </w:p>
    <w:bookmarkEnd w:id="28"/>
    <w:bookmarkStart w:id="29" w:name="phase-2-execution"/>
    <w:p>
      <w:pPr>
        <w:pStyle w:val="Heading3"/>
      </w:pPr>
      <w:r>
        <w:t xml:space="preserve">4.2 Phase 2: Execution</w:t>
      </w:r>
    </w:p>
    <w:p>
      <w:pPr>
        <w:pStyle w:val="FirstParagraph"/>
      </w:pPr>
      <w:r>
        <w:t xml:space="preserve">The Chef Clients will be configured to run at regular intervals (e.g., every 30 minutes) to converge with the desired state defined in the cookbooks. The execution phase will involve monitoring the Chef Server logs and client logs to ensure that configurations are applied correctly.</w:t>
      </w:r>
    </w:p>
    <w:bookmarkEnd w:id="29"/>
    <w:bookmarkStart w:id="30" w:name="phase-3-evaluation"/>
    <w:p>
      <w:pPr>
        <w:pStyle w:val="Heading3"/>
      </w:pPr>
      <w:r>
        <w:t xml:space="preserve">4.3 Phase 3: Evaluation</w:t>
      </w:r>
    </w:p>
    <w:p>
      <w:pPr>
        <w:pStyle w:val="FirstParagraph"/>
      </w:pPr>
      <w:r>
        <w:t xml:space="preserve">The evaluation phase will involve analyzing the performance and reliability of the Chef infrastructure. Key performance indicators (KPIs) will include convergence time, error rates, and resource utilization. The results will be compared against baseline metrics to assess the effectiveness of Chef.</w:t>
      </w:r>
    </w:p>
    <w:bookmarkEnd w:id="30"/>
    <w:bookmarkEnd w:id="31"/>
    <w:bookmarkStart w:id="33" w:name="data-collection-and-analysis"/>
    <w:p>
      <w:pPr>
        <w:pStyle w:val="Heading2"/>
      </w:pPr>
      <w:r>
        <w:t xml:space="preserve">5. Data Collection and Analysis</w:t>
      </w:r>
    </w:p>
    <w:p>
      <w:pPr>
        <w:pStyle w:val="FirstParagraph"/>
      </w:pPr>
      <w:r>
        <w:t xml:space="preserve">Data will be collected from the Chef Server, Chef Clients, and monitoring tools. The data will include logs, metrics, and reports generated during the experiment. The data will be analyzed to identify trends, patterns, and areas for improvement.</w:t>
      </w:r>
    </w:p>
    <w:bookmarkStart w:id="32" w:name="metrics"/>
    <w:p>
      <w:pPr>
        <w:pStyle w:val="Heading3"/>
      </w:pPr>
      <w:r>
        <w:t xml:space="preserve">5.1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Convergence Time</w:t>
            </w:r>
          </w:p>
        </w:tc>
        <w:tc>
          <w:tcPr/>
          <w:p>
            <w:pPr>
              <w:pStyle w:val="Compact"/>
              <w:jc w:val="left"/>
            </w:pPr>
            <w:r>
              <w:t xml:space="preserve">Time taken for a Chef Client to converge with the desired state.</w:t>
            </w:r>
          </w:p>
        </w:tc>
        <w:tc>
          <w:tcPr/>
          <w:p>
            <w:pPr>
              <w:pStyle w:val="Compact"/>
              <w:jc w:val="left"/>
            </w:pPr>
            <w:r>
              <w:t xml:space="preserve">&lt; 5 minutes</w:t>
            </w:r>
          </w:p>
        </w:tc>
      </w:tr>
      <w:tr>
        <w:tc>
          <w:tcPr/>
          <w:p>
            <w:pPr>
              <w:pStyle w:val="Compact"/>
              <w:jc w:val="left"/>
            </w:pPr>
            <w:r>
              <w:t xml:space="preserve">Error Rate</w:t>
            </w:r>
          </w:p>
        </w:tc>
        <w:tc>
          <w:tcPr/>
          <w:p>
            <w:pPr>
              <w:pStyle w:val="Compact"/>
              <w:jc w:val="left"/>
            </w:pPr>
            <w:r>
              <w:t xml:space="preserve">Percentage of failed Chef Client runs.</w:t>
            </w:r>
          </w:p>
        </w:tc>
        <w:tc>
          <w:tcPr/>
          <w:p>
            <w:pPr>
              <w:pStyle w:val="Compact"/>
              <w:jc w:val="left"/>
            </w:pPr>
            <w:r>
              <w:t xml:space="preserve">&lt; 1%</w:t>
            </w:r>
          </w:p>
        </w:tc>
      </w:tr>
      <w:tr>
        <w:tc>
          <w:tcPr/>
          <w:p>
            <w:pPr>
              <w:pStyle w:val="Compact"/>
              <w:jc w:val="left"/>
            </w:pPr>
            <w:r>
              <w:t xml:space="preserve">Resource Utilization</w:t>
            </w:r>
          </w:p>
        </w:tc>
        <w:tc>
          <w:tcPr/>
          <w:p>
            <w:pPr>
              <w:pStyle w:val="Compact"/>
              <w:jc w:val="left"/>
            </w:pPr>
            <w:r>
              <w:t xml:space="preserve">CPU and memory usage of the Chef Server.</w:t>
            </w:r>
          </w:p>
        </w:tc>
        <w:tc>
          <w:tcPr/>
          <w:p>
            <w:pPr>
              <w:pStyle w:val="Compact"/>
              <w:jc w:val="left"/>
            </w:pPr>
            <w:r>
              <w:t xml:space="preserve">&lt; 70%</w:t>
            </w:r>
          </w:p>
        </w:tc>
      </w:tr>
    </w:tbl>
    <w:bookmarkEnd w:id="32"/>
    <w:bookmarkEnd w:id="33"/>
    <w:bookmarkStart w:id="34" w:name="risk-management"/>
    <w:p>
      <w:pPr>
        <w:pStyle w:val="Heading2"/>
      </w:pPr>
      <w:r>
        <w:t xml:space="preserve">6. Risk Management</w:t>
      </w:r>
    </w:p>
    <w:p>
      <w:pPr>
        <w:pStyle w:val="FirstParagraph"/>
      </w:pPr>
      <w:r>
        <w:t xml:space="preserve">Several risks have been identified that could impact the success of the experiment. These risks include network connectivity issues, software compatibility problems, and security vulnerabilities. Mitigation strategies have been developed to address each risk.</w:t>
      </w:r>
    </w:p>
    <w:p>
      <w:pPr>
        <w:pStyle w:val="BodyText"/>
      </w:pPr>
      <w:r>
        <w:rPr>
          <w:bCs/>
          <w:b/>
        </w:rPr>
        <w:t xml:space="preserve">Note:</w:t>
      </w:r>
      <w:r>
        <w:t xml:space="preserve"> </w:t>
      </w:r>
      <w:r>
        <w:t xml:space="preserve">Special attention will be given to network latency between the Chef Server and clients, as this can significantly impact convergence times.</w:t>
      </w:r>
    </w:p>
    <w:bookmarkEnd w:id="34"/>
    <w:bookmarkStart w:id="35" w:name="conclusion"/>
    <w:p>
      <w:pPr>
        <w:pStyle w:val="Heading2"/>
      </w:pPr>
      <w:r>
        <w:t xml:space="preserve">7. Conclusion</w:t>
      </w:r>
    </w:p>
    <w:p>
      <w:pPr>
        <w:pStyle w:val="FirstParagraph"/>
      </w:pPr>
      <w:r>
        <w:t xml:space="preserve">This Experiment Protocol provides a comprehensive framework for evaluating the Chef infrastructure automation tool in the context of Riyadh, Saudi Arabia. By following this protocol, we aim to gain valuable insights into the performance, reliability, and compliance of Chef in a real-world environment. The results of this experiment will inform future infrastructure automation strategies and contribute to the broader goal of digital transformation in the Kingdom.</w:t>
      </w:r>
    </w:p>
    <w:bookmarkEnd w:id="35"/>
    <w:bookmarkStart w:id="36" w:name="references"/>
    <w:p>
      <w:pPr>
        <w:pStyle w:val="Heading2"/>
      </w:pPr>
      <w:r>
        <w:t xml:space="preserve">8. References</w:t>
      </w:r>
    </w:p>
    <w:p>
      <w:pPr>
        <w:numPr>
          <w:ilvl w:val="0"/>
          <w:numId w:val="1002"/>
        </w:numPr>
        <w:pStyle w:val="Compact"/>
      </w:pPr>
      <w:r>
        <w:t xml:space="preserve">Chef Official Documentation.</w:t>
      </w:r>
    </w:p>
    <w:p>
      <w:pPr>
        <w:numPr>
          <w:ilvl w:val="0"/>
          <w:numId w:val="1002"/>
        </w:numPr>
        <w:pStyle w:val="Compact"/>
      </w:pPr>
      <w:r>
        <w:t xml:space="preserve">National Cybersecurity Authority (NCA) Guidelines.</w:t>
      </w:r>
    </w:p>
    <w:p>
      <w:pPr>
        <w:numPr>
          <w:ilvl w:val="0"/>
          <w:numId w:val="1002"/>
        </w:numPr>
        <w:pStyle w:val="Compact"/>
      </w:pPr>
      <w:r>
        <w:t xml:space="preserve">Saudi Vision 2030 Digital Transformation Strategy.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Configuration in Riyadh</dc:title>
  <dc:creator/>
  <dc:language>en</dc:language>
  <cp:keywords/>
  <dcterms:created xsi:type="dcterms:W3CDTF">2026-10-10T03:56:19Z</dcterms:created>
  <dcterms:modified xsi:type="dcterms:W3CDTF">2026-10-10T03:56:19Z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