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2e9dead1b98bb37845b00bd612a8103fe9212fb"/>
    <w:p>
      <w:pPr>
        <w:pStyle w:val="Heading1"/>
      </w:pPr>
      <w:r>
        <w:t xml:space="preserve">Experiment Protocol: Chemical Engineer - Australia Brisbane</w:t>
      </w:r>
    </w:p>
    <w:p>
      <w:pPr>
        <w:pStyle w:val="FirstParagraph"/>
      </w:pPr>
      <w:r>
        <w:rPr>
          <w:bCs/>
          <w:b/>
        </w:rPr>
        <w:t xml:space="preserve">Document ID:</w:t>
      </w:r>
      <w:r>
        <w:t xml:space="preserve"> </w:t>
      </w:r>
      <w:r>
        <w:t xml:space="preserve">CP-2024-BNE-CE-001</w:t>
      </w:r>
    </w:p>
    <w:p>
      <w:pPr>
        <w:pStyle w:val="BodyText"/>
      </w:pPr>
      <w:r>
        <w:rPr>
          <w:bCs/>
          <w:b/>
        </w:rPr>
        <w:t xml:space="preserve">Location:</w:t>
      </w:r>
      <w:r>
        <w:t xml:space="preserve"> </w:t>
      </w:r>
      <w:r>
        <w:t xml:space="preserve">Brisbane, Queensland, Australia</w:t>
      </w:r>
    </w:p>
    <w:p>
      <w:pPr>
        <w:pStyle w:val="BodyText"/>
      </w:pPr>
      <w:r>
        <w:rPr>
          <w:bCs/>
          <w:b/>
        </w:rPr>
        <w:t xml:space="preserve">Prepared by:</w:t>
      </w:r>
      <w:r>
        <w:t xml:space="preserve"> </w:t>
      </w:r>
      <w:r>
        <w:t xml:space="preserve">Chemical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purpose-and-scope"/>
    <w:p>
      <w:pPr>
        <w:pStyle w:val="Heading2"/>
      </w:pPr>
      <w:r>
        <w:t xml:space="preserve">1. Purpose and Scope</w:t>
      </w:r>
    </w:p>
    <w:p>
      <w:pPr>
        <w:pStyle w:val="FirstParagraph"/>
      </w:pPr>
      <w:r>
        <w:t xml:space="preserve">This Experiment Protocol is designed to guide a Chemical Engineer in conducting a controlled experiment within a laboratory or pilot plant facility located in Brisbane, Australia. The primary objective is to evaluate the efficiency of a novel catalytic process for the conversion of biomass-derived feedstocks into biofuels. This protocol ensures compliance with Australian Standards (AS/NZS), Queensland Work Health and Safety (WHS) regulations, and environmental protection guidelines specific to the Brisbane region.</w:t>
      </w:r>
    </w:p>
    <w:p>
      <w:pPr>
        <w:pStyle w:val="BodyText"/>
      </w:pPr>
      <w:r>
        <w:t xml:space="preserve">The scope of this document includes the preparation of materials, experimental procedures, safety protocols, data collection methods, and waste disposal practices. It is intended for use by qualified Chemical Engineers and laboratory personnel operating under the jurisdiction of the Queensland Government.</w:t>
      </w:r>
    </w:p>
    <w:bookmarkEnd w:id="21"/>
    <w:bookmarkStart w:id="22" w:name="Xc1bf6019d7c7f546cd756b019a9b2d8bdab0c79"/>
    <w:p>
      <w:pPr>
        <w:pStyle w:val="Heading2"/>
      </w:pPr>
      <w:r>
        <w:t xml:space="preserve">2. Regulatory Compliance and Safety Standards</w:t>
      </w:r>
    </w:p>
    <w:p>
      <w:pPr>
        <w:pStyle w:val="FirstParagraph"/>
      </w:pPr>
      <w:r>
        <w:t xml:space="preserve">All activities conducted under this Experiment Protocol must adhere to the following regulations and standards applicable in Australia Brisbane:</w:t>
      </w:r>
    </w:p>
    <w:p>
      <w:pPr>
        <w:numPr>
          <w:ilvl w:val="0"/>
          <w:numId w:val="1001"/>
        </w:numPr>
        <w:pStyle w:val="Compact"/>
      </w:pPr>
      <w:r>
        <w:rPr>
          <w:bCs/>
          <w:b/>
        </w:rPr>
        <w:t xml:space="preserve">Work Health and Safety Act 2011 (Qld):</w:t>
      </w:r>
      <w:r>
        <w:t xml:space="preserve"> </w:t>
      </w:r>
      <w:r>
        <w:t xml:space="preserve">Ensures the safety and health of workers and others in the workplace.</w:t>
      </w:r>
    </w:p>
    <w:p>
      <w:pPr>
        <w:numPr>
          <w:ilvl w:val="0"/>
          <w:numId w:val="1001"/>
        </w:numPr>
        <w:pStyle w:val="Compact"/>
      </w:pPr>
      <w:r>
        <w:rPr>
          <w:bCs/>
          <w:b/>
        </w:rPr>
        <w:t xml:space="preserve">AS/NZS 4452:2018:</w:t>
      </w:r>
      <w:r>
        <w:t xml:space="preserve"> </w:t>
      </w:r>
      <w:r>
        <w:t xml:space="preserve">Laboratory safety code of practice.</w:t>
      </w:r>
    </w:p>
    <w:p>
      <w:pPr>
        <w:numPr>
          <w:ilvl w:val="0"/>
          <w:numId w:val="1001"/>
        </w:numPr>
        <w:pStyle w:val="Compact"/>
      </w:pPr>
      <w:r>
        <w:rPr>
          <w:bCs/>
          <w:b/>
        </w:rPr>
        <w:t xml:space="preserve">AS/NZS 2243.3:2010:</w:t>
      </w:r>
      <w:r>
        <w:t xml:space="preserve"> </w:t>
      </w:r>
      <w:r>
        <w:t xml:space="preserve">Selection, use, and maintenance of eye and face protection.</w:t>
      </w:r>
    </w:p>
    <w:p>
      <w:pPr>
        <w:numPr>
          <w:ilvl w:val="0"/>
          <w:numId w:val="1001"/>
        </w:numPr>
        <w:pStyle w:val="Compact"/>
      </w:pPr>
      <w:r>
        <w:rPr>
          <w:bCs/>
          <w:b/>
        </w:rPr>
        <w:t xml:space="preserve">Environmental Protection Act 1994 (Qld):</w:t>
      </w:r>
      <w:r>
        <w:t xml:space="preserve"> </w:t>
      </w:r>
      <w:r>
        <w:t xml:space="preserve">Governs the management of hazardous substances and waste.</w:t>
      </w:r>
    </w:p>
    <w:p>
      <w:pPr>
        <w:numPr>
          <w:ilvl w:val="0"/>
          <w:numId w:val="1001"/>
        </w:numPr>
        <w:pStyle w:val="Compact"/>
      </w:pPr>
      <w:r>
        <w:rPr>
          <w:bCs/>
          <w:b/>
        </w:rPr>
        <w:t xml:space="preserve">Local Brisbane City Council Regulations:</w:t>
      </w:r>
      <w:r>
        <w:t xml:space="preserve"> </w:t>
      </w:r>
      <w:r>
        <w:t xml:space="preserve">Pertaining to emissions, noise, and waste disposal.</w:t>
      </w:r>
    </w:p>
    <w:p>
      <w:pPr>
        <w:pStyle w:val="FirstParagraph"/>
      </w:pPr>
      <w:r>
        <w:rPr>
          <w:bCs/>
          <w:b/>
        </w:rPr>
        <w:t xml:space="preserve">Warning:</w:t>
      </w:r>
      <w:r>
        <w:t xml:space="preserve"> </w:t>
      </w:r>
      <w:r>
        <w:t xml:space="preserve">Failure to comply with these regulations may result in legal penalties, project delays, and safety hazards. All personnel must undergo site-specific induction training before commencing work.</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 All items must be inspected for integrity and calibration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Biomass Feedstock</w:t>
            </w:r>
          </w:p>
        </w:tc>
        <w:tc>
          <w:tcPr/>
          <w:p>
            <w:pPr>
              <w:pStyle w:val="Compact"/>
              <w:jc w:val="left"/>
            </w:pPr>
            <w:r>
              <w:t xml:space="preserve">Dried and ground eucalyptus wood chips (sourced locally in Queensland)</w:t>
            </w:r>
          </w:p>
        </w:tc>
        <w:tc>
          <w:tcPr/>
          <w:p>
            <w:pPr>
              <w:pStyle w:val="Compact"/>
              <w:jc w:val="left"/>
            </w:pPr>
            <w:r>
              <w:t xml:space="preserve">5 kg</w:t>
            </w:r>
          </w:p>
        </w:tc>
      </w:tr>
      <w:tr>
        <w:tc>
          <w:tcPr/>
          <w:p>
            <w:pPr>
              <w:pStyle w:val="Compact"/>
              <w:jc w:val="left"/>
            </w:pPr>
            <w:r>
              <w:t xml:space="preserve">Catalyst</w:t>
            </w:r>
          </w:p>
        </w:tc>
        <w:tc>
          <w:tcPr/>
          <w:p>
            <w:pPr>
              <w:pStyle w:val="Compact"/>
              <w:jc w:val="left"/>
            </w:pPr>
            <w:r>
              <w:t xml:space="preserve">Nickel-based catalyst (5% Ni/Al2O3)</w:t>
            </w:r>
          </w:p>
        </w:tc>
        <w:tc>
          <w:tcPr/>
          <w:p>
            <w:pPr>
              <w:pStyle w:val="Compact"/>
              <w:jc w:val="left"/>
            </w:pPr>
            <w:r>
              <w:t xml:space="preserve">500 g</w:t>
            </w:r>
          </w:p>
        </w:tc>
      </w:tr>
      <w:tr>
        <w:tc>
          <w:tcPr/>
          <w:p>
            <w:pPr>
              <w:pStyle w:val="Compact"/>
              <w:jc w:val="left"/>
            </w:pPr>
            <w:r>
              <w:t xml:space="preserve">Reactor</w:t>
            </w:r>
          </w:p>
        </w:tc>
        <w:tc>
          <w:tcPr/>
          <w:p>
            <w:pPr>
              <w:pStyle w:val="Compact"/>
              <w:jc w:val="left"/>
            </w:pPr>
            <w:r>
              <w:t xml:space="preserve">Stainless steel batch reactor, 10 L capacity</w:t>
            </w:r>
          </w:p>
        </w:tc>
        <w:tc>
          <w:tcPr/>
          <w:p>
            <w:pPr>
              <w:pStyle w:val="Compact"/>
              <w:jc w:val="left"/>
            </w:pPr>
            <w:r>
              <w:t xml:space="preserve">1 unit</w:t>
            </w:r>
          </w:p>
        </w:tc>
      </w:tr>
      <w:tr>
        <w:tc>
          <w:tcPr/>
          <w:p>
            <w:pPr>
              <w:pStyle w:val="Compact"/>
              <w:jc w:val="left"/>
            </w:pPr>
            <w:r>
              <w:t xml:space="preserve">Temperature Controller</w:t>
            </w:r>
          </w:p>
        </w:tc>
        <w:tc>
          <w:tcPr/>
          <w:p>
            <w:pPr>
              <w:pStyle w:val="Compact"/>
              <w:jc w:val="left"/>
            </w:pPr>
            <w:r>
              <w:t xml:space="preserve">PID controller with accuracy ±1°C</w:t>
            </w:r>
          </w:p>
        </w:tc>
        <w:tc>
          <w:tcPr/>
          <w:p>
            <w:pPr>
              <w:pStyle w:val="Compact"/>
              <w:jc w:val="left"/>
            </w:pPr>
            <w:r>
              <w:t xml:space="preserve">1 unit</w:t>
            </w:r>
          </w:p>
        </w:tc>
      </w:tr>
      <w:tr>
        <w:tc>
          <w:tcPr/>
          <w:p>
            <w:pPr>
              <w:pStyle w:val="Compact"/>
              <w:jc w:val="left"/>
            </w:pPr>
            <w:r>
              <w:t xml:space="preserve">Pressure Gauge</w:t>
            </w:r>
          </w:p>
        </w:tc>
        <w:tc>
          <w:tcPr/>
          <w:p>
            <w:pPr>
              <w:pStyle w:val="Compact"/>
              <w:jc w:val="left"/>
            </w:pPr>
            <w:r>
              <w:t xml:space="preserve">Range 0-10 bar, calibrated</w:t>
            </w:r>
          </w:p>
        </w:tc>
        <w:tc>
          <w:tcPr/>
          <w:p>
            <w:pPr>
              <w:pStyle w:val="Compact"/>
              <w:jc w:val="left"/>
            </w:pPr>
            <w:r>
              <w:t xml:space="preserve">1 unit</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 unit</w:t>
            </w:r>
          </w:p>
        </w:tc>
      </w:tr>
      <w:tr>
        <w:tc>
          <w:tcPr/>
          <w:p>
            <w:pPr>
              <w:pStyle w:val="Compact"/>
              <w:jc w:val="left"/>
            </w:pPr>
            <w:r>
              <w:t xml:space="preserve">Personal Protective Equipment (PPE)</w:t>
            </w:r>
          </w:p>
        </w:tc>
        <w:tc>
          <w:tcPr/>
          <w:p>
            <w:pPr>
              <w:pStyle w:val="Compact"/>
              <w:jc w:val="left"/>
            </w:pPr>
            <w:r>
              <w:t xml:space="preserve">Lab coat, safety goggles, gloves, face shield</w:t>
            </w:r>
          </w:p>
        </w:tc>
        <w:tc>
          <w:tcPr/>
          <w:p>
            <w:pPr>
              <w:pStyle w:val="Compact"/>
              <w:jc w:val="left"/>
            </w:pPr>
            <w:r>
              <w:t xml:space="preserve">As required</w:t>
            </w:r>
          </w:p>
        </w:tc>
      </w:tr>
    </w:tbl>
    <w:bookmarkEnd w:id="23"/>
    <w:bookmarkStart w:id="28" w:name="experimental-procedure"/>
    <w:p>
      <w:pPr>
        <w:pStyle w:val="Heading2"/>
      </w:pPr>
      <w:r>
        <w:t xml:space="preserve">4. Experimental Procedure</w:t>
      </w:r>
    </w:p>
    <w:p>
      <w:pPr>
        <w:pStyle w:val="FirstParagraph"/>
      </w:pPr>
      <w:r>
        <w:t xml:space="preserve">The Chemical Engineer must follow the steps outlined below to ensure consistency and accuracy in the experiment.</w:t>
      </w:r>
    </w:p>
    <w:bookmarkStart w:id="24" w:name="preparation"/>
    <w:p>
      <w:pPr>
        <w:pStyle w:val="Heading3"/>
      </w:pPr>
      <w:r>
        <w:t xml:space="preserve">4.1 Preparation</w:t>
      </w:r>
    </w:p>
    <w:p>
      <w:pPr>
        <w:numPr>
          <w:ilvl w:val="0"/>
          <w:numId w:val="1002"/>
        </w:numPr>
        <w:pStyle w:val="Compact"/>
      </w:pPr>
      <w:r>
        <w:t xml:space="preserve">Conduct a risk assessment specific to the experiment and update the Safety Data Sheets (SDS) for all chemicals used.</w:t>
      </w:r>
    </w:p>
    <w:p>
      <w:pPr>
        <w:numPr>
          <w:ilvl w:val="0"/>
          <w:numId w:val="1002"/>
        </w:numPr>
        <w:pStyle w:val="Compact"/>
      </w:pPr>
      <w:r>
        <w:t xml:space="preserve">Ensure the laboratory or pilot plant in Brisbane is well-ventilated and equipped with emergency showers and eyewash stations.</w:t>
      </w:r>
    </w:p>
    <w:p>
      <w:pPr>
        <w:numPr>
          <w:ilvl w:val="0"/>
          <w:numId w:val="1002"/>
        </w:numPr>
        <w:pStyle w:val="Compact"/>
      </w:pPr>
      <w:r>
        <w:t xml:space="preserve">Calibrate all instruments, including temperature controllers, pressure gauges, and analytical equipment.</w:t>
      </w:r>
    </w:p>
    <w:p>
      <w:pPr>
        <w:numPr>
          <w:ilvl w:val="0"/>
          <w:numId w:val="1002"/>
        </w:numPr>
        <w:pStyle w:val="Compact"/>
      </w:pPr>
      <w:r>
        <w:t xml:space="preserve">Prepare the biomass feedstock by drying it at 105°C for 24 hours and grinding it to a particle size of 2-4 mm.</w:t>
      </w:r>
    </w:p>
    <w:bookmarkEnd w:id="24"/>
    <w:bookmarkStart w:id="25" w:name="catalyst-loading"/>
    <w:p>
      <w:pPr>
        <w:pStyle w:val="Heading3"/>
      </w:pPr>
      <w:r>
        <w:t xml:space="preserve">4.2 Catalyst Loading</w:t>
      </w:r>
    </w:p>
    <w:p>
      <w:pPr>
        <w:numPr>
          <w:ilvl w:val="0"/>
          <w:numId w:val="1003"/>
        </w:numPr>
        <w:pStyle w:val="Compact"/>
      </w:pPr>
      <w:r>
        <w:t xml:space="preserve">Wear appropriate PPE, including gloves and a face shield.</w:t>
      </w:r>
    </w:p>
    <w:p>
      <w:pPr>
        <w:numPr>
          <w:ilvl w:val="0"/>
          <w:numId w:val="1003"/>
        </w:numPr>
        <w:pStyle w:val="Compact"/>
      </w:pPr>
      <w:r>
        <w:t xml:space="preserve">Load the nickel-based catalyst into the reactor using a funnel to avoid spillage.</w:t>
      </w:r>
    </w:p>
    <w:p>
      <w:pPr>
        <w:numPr>
          <w:ilvl w:val="0"/>
          <w:numId w:val="1003"/>
        </w:numPr>
        <w:pStyle w:val="Compact"/>
      </w:pPr>
      <w:r>
        <w:t xml:space="preserve">Secure the reactor lid and check for leaks using a soap solution or pressure test.</w:t>
      </w:r>
    </w:p>
    <w:bookmarkEnd w:id="25"/>
    <w:bookmarkStart w:id="26" w:name="reaction-conditions"/>
    <w:p>
      <w:pPr>
        <w:pStyle w:val="Heading3"/>
      </w:pPr>
      <w:r>
        <w:t xml:space="preserve">4.3 Reaction Conditions</w:t>
      </w:r>
    </w:p>
    <w:p>
      <w:pPr>
        <w:numPr>
          <w:ilvl w:val="0"/>
          <w:numId w:val="1004"/>
        </w:numPr>
        <w:pStyle w:val="Compact"/>
      </w:pPr>
      <w:r>
        <w:t xml:space="preserve">Introduce the biomass feedstock into the reactor.</w:t>
      </w:r>
    </w:p>
    <w:p>
      <w:pPr>
        <w:numPr>
          <w:ilvl w:val="0"/>
          <w:numId w:val="1004"/>
        </w:numPr>
        <w:pStyle w:val="Compact"/>
      </w:pPr>
      <w:r>
        <w:t xml:space="preserve">Set the temperature to 350°C and the pressure to 5 bar using the PID controller.</w:t>
      </w:r>
    </w:p>
    <w:p>
      <w:pPr>
        <w:numPr>
          <w:ilvl w:val="0"/>
          <w:numId w:val="1004"/>
        </w:numPr>
        <w:pStyle w:val="Compact"/>
      </w:pPr>
      <w:r>
        <w:t xml:space="preserve">Allow the system to reach steady-state conditions before initiating the reaction.</w:t>
      </w:r>
    </w:p>
    <w:p>
      <w:pPr>
        <w:numPr>
          <w:ilvl w:val="0"/>
          <w:numId w:val="1004"/>
        </w:numPr>
        <w:pStyle w:val="Compact"/>
      </w:pPr>
      <w:r>
        <w:t xml:space="preserve">Monitor the reaction for 4 hours, recording temperature, pressure, and flow rates at 15-minute intervals.</w:t>
      </w:r>
    </w:p>
    <w:bookmarkEnd w:id="26"/>
    <w:bookmarkStart w:id="27" w:name="product-collection-and-analysis"/>
    <w:p>
      <w:pPr>
        <w:pStyle w:val="Heading3"/>
      </w:pPr>
      <w:r>
        <w:t xml:space="preserve">4.4 Product Collection and Analysis</w:t>
      </w:r>
    </w:p>
    <w:p>
      <w:pPr>
        <w:numPr>
          <w:ilvl w:val="0"/>
          <w:numId w:val="1005"/>
        </w:numPr>
        <w:pStyle w:val="Compact"/>
      </w:pPr>
      <w:r>
        <w:t xml:space="preserve">After the reaction period, cool the reactor to room temperature.</w:t>
      </w:r>
    </w:p>
    <w:p>
      <w:pPr>
        <w:numPr>
          <w:ilvl w:val="0"/>
          <w:numId w:val="1005"/>
        </w:numPr>
        <w:pStyle w:val="Compact"/>
      </w:pPr>
      <w:r>
        <w:t xml:space="preserve">Collect the liquid and gaseous products in separate containers.</w:t>
      </w:r>
    </w:p>
    <w:p>
      <w:pPr>
        <w:numPr>
          <w:ilvl w:val="0"/>
          <w:numId w:val="1005"/>
        </w:numPr>
        <w:pStyle w:val="Compact"/>
      </w:pPr>
      <w:r>
        <w:t xml:space="preserve">Analyze the products using gas chromatography to determine the composition and yield of biofuels.</w:t>
      </w:r>
    </w:p>
    <w:p>
      <w:pPr>
        <w:numPr>
          <w:ilvl w:val="0"/>
          <w:numId w:val="1005"/>
        </w:numPr>
        <w:pStyle w:val="Compact"/>
      </w:pPr>
      <w:r>
        <w:t xml:space="preserve">Document all observations and data in the laboratory notebook.</w:t>
      </w:r>
    </w:p>
    <w:bookmarkEnd w:id="27"/>
    <w:bookmarkEnd w:id="28"/>
    <w:bookmarkStart w:id="29" w:name="data-collection-and-reporting"/>
    <w:p>
      <w:pPr>
        <w:pStyle w:val="Heading2"/>
      </w:pPr>
      <w:r>
        <w:t xml:space="preserve">5. Data Collection and Reporting</w:t>
      </w:r>
    </w:p>
    <w:p>
      <w:pPr>
        <w:pStyle w:val="FirstParagraph"/>
      </w:pPr>
      <w:r>
        <w:t xml:space="preserve">The Chemical Engineer must maintain accurate and detailed records of all experimental data. This includes:</w:t>
      </w:r>
    </w:p>
    <w:p>
      <w:pPr>
        <w:numPr>
          <w:ilvl w:val="0"/>
          <w:numId w:val="1006"/>
        </w:numPr>
        <w:pStyle w:val="Compact"/>
      </w:pPr>
      <w:r>
        <w:t xml:space="preserve">Raw data from instruments (temperature, pressure, flow rates).</w:t>
      </w:r>
    </w:p>
    <w:p>
      <w:pPr>
        <w:numPr>
          <w:ilvl w:val="0"/>
          <w:numId w:val="1006"/>
        </w:numPr>
        <w:pStyle w:val="Compact"/>
      </w:pPr>
      <w:r>
        <w:t xml:space="preserve">Observations of any anomalies or deviations from expected results.</w:t>
      </w:r>
    </w:p>
    <w:p>
      <w:pPr>
        <w:numPr>
          <w:ilvl w:val="0"/>
          <w:numId w:val="1006"/>
        </w:numPr>
        <w:pStyle w:val="Compact"/>
      </w:pPr>
      <w:r>
        <w:t xml:space="preserve">Calibration certificates for all equipment used.</w:t>
      </w:r>
    </w:p>
    <w:p>
      <w:pPr>
        <w:numPr>
          <w:ilvl w:val="0"/>
          <w:numId w:val="1006"/>
        </w:numPr>
        <w:pStyle w:val="Compact"/>
      </w:pPr>
      <w:r>
        <w:t xml:space="preserve">Analysis results from gas chromatography.</w:t>
      </w:r>
    </w:p>
    <w:p>
      <w:pPr>
        <w:pStyle w:val="FirstParagraph"/>
      </w:pPr>
      <w:r>
        <w:t xml:space="preserve">A comprehensive report must be prepared within 14 days of completing the experiment. The report should include an executive summary, methodology, results, discussion, and conclusions. It must be submitted to the project manager and stored in accordance with the organization's document control procedures.</w:t>
      </w:r>
    </w:p>
    <w:bookmarkEnd w:id="29"/>
    <w:bookmarkStart w:id="30" w:name="Xdccd078c8b62d2f942d82f8fe42803bca2f81fc"/>
    <w:p>
      <w:pPr>
        <w:pStyle w:val="Heading2"/>
      </w:pPr>
      <w:r>
        <w:t xml:space="preserve">6. Waste Disposal and Environmental Considerations</w:t>
      </w:r>
    </w:p>
    <w:p>
      <w:pPr>
        <w:pStyle w:val="FirstParagraph"/>
      </w:pPr>
      <w:r>
        <w:t xml:space="preserve">All waste generated during the experiment must be disposed of in accordance with the Environmental Protection Act 1994 (Qld) and Brisbane City Council guidelines.</w:t>
      </w:r>
    </w:p>
    <w:p>
      <w:pPr>
        <w:numPr>
          <w:ilvl w:val="0"/>
          <w:numId w:val="1007"/>
        </w:numPr>
        <w:pStyle w:val="Compact"/>
      </w:pPr>
      <w:r>
        <w:rPr>
          <w:bCs/>
          <w:b/>
        </w:rPr>
        <w:t xml:space="preserve">Hazardous Waste:</w:t>
      </w:r>
      <w:r>
        <w:t xml:space="preserve"> </w:t>
      </w:r>
      <w:r>
        <w:t xml:space="preserve">Collect in labeled containers and arrange for disposal by a licensed waste management company.</w:t>
      </w:r>
    </w:p>
    <w:p>
      <w:pPr>
        <w:numPr>
          <w:ilvl w:val="0"/>
          <w:numId w:val="1007"/>
        </w:numPr>
        <w:pStyle w:val="Compact"/>
      </w:pPr>
      <w:r>
        <w:rPr>
          <w:bCs/>
          <w:b/>
        </w:rPr>
        <w:t xml:space="preserve">Non-Hazardous Waste:</w:t>
      </w:r>
      <w:r>
        <w:t xml:space="preserve"> </w:t>
      </w:r>
      <w:r>
        <w:t xml:space="preserve">Dispose of in designated bins for recycling or landfill.</w:t>
      </w:r>
    </w:p>
    <w:p>
      <w:pPr>
        <w:numPr>
          <w:ilvl w:val="0"/>
          <w:numId w:val="1007"/>
        </w:numPr>
        <w:pStyle w:val="Compact"/>
      </w:pPr>
      <w:r>
        <w:rPr>
          <w:bCs/>
          <w:b/>
        </w:rPr>
        <w:t xml:space="preserve">Spill Response:</w:t>
      </w:r>
      <w:r>
        <w:t xml:space="preserve"> </w:t>
      </w:r>
      <w:r>
        <w:t xml:space="preserve">In the event of a spill, immediately contain the spill using absorbent materials and notify the safety officer. Follow the site-specific spill response plan.</w:t>
      </w:r>
    </w:p>
    <w:bookmarkEnd w:id="30"/>
    <w:bookmarkStart w:id="31" w:name="emergency-procedures"/>
    <w:p>
      <w:pPr>
        <w:pStyle w:val="Heading2"/>
      </w:pPr>
      <w:r>
        <w:t xml:space="preserve">7. Emergency Procedures</w:t>
      </w:r>
    </w:p>
    <w:p>
      <w:pPr>
        <w:pStyle w:val="FirstParagraph"/>
      </w:pPr>
      <w:r>
        <w:t xml:space="preserve">In the event of an emergency, the following procedures must be followed:</w:t>
      </w:r>
    </w:p>
    <w:p>
      <w:pPr>
        <w:numPr>
          <w:ilvl w:val="0"/>
          <w:numId w:val="1008"/>
        </w:numPr>
        <w:pStyle w:val="Compact"/>
      </w:pPr>
      <w:r>
        <w:rPr>
          <w:bCs/>
          <w:b/>
        </w:rPr>
        <w:t xml:space="preserve">Fire:</w:t>
      </w:r>
      <w:r>
        <w:t xml:space="preserve"> </w:t>
      </w:r>
      <w:r>
        <w:t xml:space="preserve">Activate the fire alarm, evacuate the area, and use a fire extinguisher if safe to do so.</w:t>
      </w:r>
    </w:p>
    <w:p>
      <w:pPr>
        <w:numPr>
          <w:ilvl w:val="0"/>
          <w:numId w:val="1008"/>
        </w:numPr>
        <w:pStyle w:val="Compact"/>
      </w:pPr>
      <w:r>
        <w:rPr>
          <w:bCs/>
          <w:b/>
        </w:rPr>
        <w:t xml:space="preserve">Chemical Spill:</w:t>
      </w:r>
      <w:r>
        <w:t xml:space="preserve"> </w:t>
      </w:r>
      <w:r>
        <w:t xml:space="preserve">Contain the spill, ventilate the area, and notify the safety officer.</w:t>
      </w:r>
    </w:p>
    <w:p>
      <w:pPr>
        <w:numPr>
          <w:ilvl w:val="0"/>
          <w:numId w:val="1008"/>
        </w:numPr>
        <w:pStyle w:val="Compact"/>
      </w:pPr>
      <w:r>
        <w:rPr>
          <w:bCs/>
          <w:b/>
        </w:rPr>
        <w:t xml:space="preserve">Medical Emergency:</w:t>
      </w:r>
      <w:r>
        <w:t xml:space="preserve"> </w:t>
      </w:r>
      <w:r>
        <w:t xml:space="preserve">Provide first aid if trained, call 000 for emergency services, and notify the site manager.</w:t>
      </w:r>
    </w:p>
    <w:p>
      <w:pPr>
        <w:pStyle w:val="FirstParagraph"/>
      </w:pPr>
      <w:r>
        <w:t xml:space="preserve">All personnel must be familiar with the location of emergency exits, fire extinguishers, and first aid kits.</w:t>
      </w:r>
    </w:p>
    <w:bookmarkEnd w:id="31"/>
    <w:bookmarkStart w:id="32" w:name="approval-and-signatures"/>
    <w:p>
      <w:pPr>
        <w:pStyle w:val="Heading2"/>
      </w:pPr>
      <w:r>
        <w:t xml:space="preserve">8. Approval and Signatures</w:t>
      </w:r>
    </w:p>
    <w:p>
      <w:pPr>
        <w:pStyle w:val="FirstParagraph"/>
      </w:pPr>
      <w:r>
        <w:t xml:space="preserve">This Experiment Protocol has been reviewed and approved by the following individuals:</w:t>
      </w:r>
    </w:p>
    <w:p>
      <w:pPr>
        <w:pStyle w:val="BodyText"/>
      </w:pPr>
      <w:r>
        <w:rPr>
          <w:bCs/>
          <w:b/>
        </w:rPr>
        <w:t xml:space="preserve">Chemical Engineer:</w:t>
      </w:r>
    </w:p>
    <w:p>
      <w:pPr>
        <w:pStyle w:val="BodyText"/>
      </w:pPr>
      <w:r>
        <w:t xml:space="preserve">Name: ________________________ Date: ________________________</w:t>
      </w:r>
    </w:p>
    <w:p>
      <w:pPr>
        <w:pStyle w:val="BodyText"/>
      </w:pPr>
      <w:r>
        <w:rPr>
          <w:bCs/>
          <w:b/>
        </w:rPr>
        <w:t xml:space="preserve">Safety Officer:</w:t>
      </w:r>
    </w:p>
    <w:p>
      <w:pPr>
        <w:pStyle w:val="BodyText"/>
      </w:pPr>
      <w:r>
        <w:t xml:space="preserve">Name: ________________________ Date: ________________________</w:t>
      </w:r>
    </w:p>
    <w:p>
      <w:pPr>
        <w:pStyle w:val="BodyText"/>
      </w:pPr>
      <w:r>
        <w:rPr>
          <w:bCs/>
          <w:b/>
        </w:rPr>
        <w:t xml:space="preserve">Project Manager:</w:t>
      </w:r>
    </w:p>
    <w:p>
      <w:pPr>
        <w:pStyle w:val="BodyText"/>
      </w:pPr>
      <w:r>
        <w:t xml:space="preserve">Name: ________________________ Date: 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Australia Brisbane</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