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is designed to guide a Chemical Engineer conducting experiments in a laboratory or industrial setting in Australia Melbourne. The protocol ensures compliance with local regulations, safety standards, and best practices in chemical engineering. It covers all aspects of the experiment, from planning and preparation to execution, data analysis, and reporting.</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efficiency of a chemical reaction under controlled conditions.</w:t>
      </w:r>
    </w:p>
    <w:p>
      <w:pPr>
        <w:numPr>
          <w:ilvl w:val="0"/>
          <w:numId w:val="1001"/>
        </w:numPr>
        <w:pStyle w:val="Compact"/>
      </w:pPr>
      <w:r>
        <w:t xml:space="preserve">To optimize process parameters such as temperature, pressure, and catalyst concentration.</w:t>
      </w:r>
    </w:p>
    <w:p>
      <w:pPr>
        <w:numPr>
          <w:ilvl w:val="0"/>
          <w:numId w:val="1001"/>
        </w:numPr>
        <w:pStyle w:val="Compact"/>
      </w:pPr>
      <w:r>
        <w:t xml:space="preserve">To ensure adherence to Australian safety and environmental standards.</w:t>
      </w:r>
    </w:p>
    <w:p>
      <w:pPr>
        <w:numPr>
          <w:ilvl w:val="0"/>
          <w:numId w:val="1001"/>
        </w:numPr>
        <w:pStyle w:val="Compact"/>
      </w:pPr>
      <w:r>
        <w:t xml:space="preserve">To generate reliable data for further analysis and potential industrial application.</w:t>
      </w:r>
    </w:p>
    <w:p>
      <w:pPr>
        <w:pStyle w:val="FirstParagraph"/>
      </w:pPr>
      <w:r>
        <w:t xml:space="preserve">3. Scope</w:t>
      </w:r>
    </w:p>
    <w:p>
      <w:pPr>
        <w:pStyle w:val="BodyText"/>
      </w:pPr>
      <w:r>
        <w:t xml:space="preserve">This protocol applies to all Chemical Engineers and supporting staff involved in the experiment. It is specifically tailored for operations in Australia Melbourne, considering local climate conditions, regulatory frameworks, and available resources.</w:t>
      </w:r>
    </w:p>
    <w:p>
      <w:pPr>
        <w:pStyle w:val="BodyText"/>
      </w:pPr>
      <w:r>
        <w:t xml:space="preserve">4. Regulatory Compliance</w:t>
      </w:r>
    </w:p>
    <w:p>
      <w:pPr>
        <w:pStyle w:val="BodyText"/>
      </w:pPr>
      <w:r>
        <w:t xml:space="preserve">All activities must comply with the following regulations and standards:</w:t>
      </w:r>
    </w:p>
    <w:p>
      <w:pPr>
        <w:numPr>
          <w:ilvl w:val="0"/>
          <w:numId w:val="1002"/>
        </w:numPr>
        <w:pStyle w:val="Compact"/>
      </w:pPr>
      <w:r>
        <w:rPr>
          <w:bCs/>
          <w:b/>
        </w:rPr>
        <w:t xml:space="preserve">Work Health and Safety Act 2011 (Victoria):</w:t>
      </w:r>
      <w:r>
        <w:t xml:space="preserve"> </w:t>
      </w:r>
      <w:r>
        <w:t xml:space="preserve">Ensures the safety of all personnel involved.</w:t>
      </w:r>
    </w:p>
    <w:p>
      <w:pPr>
        <w:numPr>
          <w:ilvl w:val="0"/>
          <w:numId w:val="1002"/>
        </w:numPr>
        <w:pStyle w:val="Compact"/>
      </w:pPr>
      <w:r>
        <w:rPr>
          <w:bCs/>
          <w:b/>
        </w:rPr>
        <w:t xml:space="preserve">Environment Protection Act 2017 (Victoria):</w:t>
      </w:r>
      <w:r>
        <w:t xml:space="preserve"> </w:t>
      </w:r>
      <w:r>
        <w:t xml:space="preserve">Governs waste management and environmental impact.</w:t>
      </w:r>
    </w:p>
    <w:p>
      <w:pPr>
        <w:numPr>
          <w:ilvl w:val="0"/>
          <w:numId w:val="1002"/>
        </w:numPr>
        <w:pStyle w:val="Compact"/>
      </w:pPr>
      <w:r>
        <w:rPr>
          <w:bCs/>
          <w:b/>
        </w:rPr>
        <w:t xml:space="preserve">Australian Standards (AS/NZS):</w:t>
      </w:r>
      <w:r>
        <w:t xml:space="preserve"> </w:t>
      </w:r>
      <w:r>
        <w:t xml:space="preserve">Relevant standards for chemical handling and laboratory safety.</w:t>
      </w:r>
    </w:p>
    <w:p>
      <w:pPr>
        <w:numPr>
          <w:ilvl w:val="0"/>
          <w:numId w:val="1002"/>
        </w:numPr>
        <w:pStyle w:val="Compact"/>
      </w:pPr>
      <w:r>
        <w:rPr>
          <w:bCs/>
          <w:b/>
        </w:rPr>
        <w:t xml:space="preserve">Local Council Regulations:</w:t>
      </w:r>
      <w:r>
        <w:t xml:space="preserve"> </w:t>
      </w:r>
      <w:r>
        <w:t xml:space="preserve">Specific to Melbourne, including noise, emissions, and waste disposal.</w:t>
      </w:r>
    </w:p>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Reactants</w:t>
            </w:r>
          </w:p>
        </w:tc>
        <w:tc>
          <w:tcPr/>
          <w:p>
            <w:pPr>
              <w:pStyle w:val="Compact"/>
              <w:jc w:val="left"/>
            </w:pPr>
            <w:r>
              <w:t xml:space="preserve">As per stoichiometry</w:t>
            </w:r>
          </w:p>
        </w:tc>
        <w:tc>
          <w:tcPr/>
          <w:p>
            <w:pPr>
              <w:pStyle w:val="Compact"/>
              <w:jc w:val="left"/>
            </w:pPr>
            <w:r>
              <w:t xml:space="preserve">Purity &gt;99%</w:t>
            </w:r>
          </w:p>
        </w:tc>
      </w:tr>
      <w:tr>
        <w:tc>
          <w:tcPr/>
          <w:p>
            <w:pPr>
              <w:pStyle w:val="Compact"/>
              <w:jc w:val="left"/>
            </w:pPr>
            <w:r>
              <w:t xml:space="preserve">Catalyst</w:t>
            </w:r>
          </w:p>
        </w:tc>
        <w:tc>
          <w:tcPr/>
          <w:p>
            <w:pPr>
              <w:pStyle w:val="Compact"/>
              <w:jc w:val="left"/>
            </w:pPr>
            <w:r>
              <w:t xml:space="preserve">5 grams</w:t>
            </w:r>
          </w:p>
        </w:tc>
        <w:tc>
          <w:tcPr/>
          <w:p>
            <w:pPr>
              <w:pStyle w:val="Compact"/>
              <w:jc w:val="left"/>
            </w:pPr>
            <w:r>
              <w:t xml:space="preserve">Homogeneous, finely ground</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10L capacity</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Range: 0-200°C, accuracy ±1°C</w:t>
            </w:r>
          </w:p>
        </w:tc>
      </w:tr>
      <w:tr>
        <w:tc>
          <w:tcPr/>
          <w:p>
            <w:pPr>
              <w:pStyle w:val="Compact"/>
              <w:jc w:val="left"/>
            </w:pPr>
            <w:r>
              <w:t xml:space="preserve">Pressure Gauge</w:t>
            </w:r>
          </w:p>
        </w:tc>
        <w:tc>
          <w:tcPr/>
          <w:p>
            <w:pPr>
              <w:pStyle w:val="Compact"/>
              <w:jc w:val="left"/>
            </w:pPr>
            <w:r>
              <w:t xml:space="preserve">1</w:t>
            </w:r>
          </w:p>
        </w:tc>
        <w:tc>
          <w:tcPr/>
          <w:p>
            <w:pPr>
              <w:pStyle w:val="Compact"/>
              <w:jc w:val="left"/>
            </w:pPr>
            <w:r>
              <w:t xml:space="preserve">Range: 0-10 bar, accuracy ±0.1 bar</w:t>
            </w:r>
          </w:p>
        </w:tc>
      </w:tr>
      <w:tr>
        <w:tc>
          <w:tcPr/>
          <w:p>
            <w:pPr>
              <w:pStyle w:val="Compact"/>
              <w:jc w:val="left"/>
            </w:pPr>
            <w:r>
              <w:t xml:space="preserve">Safety Equipment</w:t>
            </w:r>
          </w:p>
        </w:tc>
        <w:tc>
          <w:tcPr/>
          <w:p>
            <w:pPr>
              <w:pStyle w:val="Compact"/>
              <w:jc w:val="left"/>
            </w:pPr>
            <w:r>
              <w:t xml:space="preserve">As required</w:t>
            </w:r>
          </w:p>
        </w:tc>
        <w:tc>
          <w:tcPr/>
          <w:p>
            <w:pPr>
              <w:pStyle w:val="Compact"/>
              <w:jc w:val="left"/>
            </w:pPr>
            <w:r>
              <w:t xml:space="preserve">PPE, fire extinguishers, spill kits</w:t>
            </w:r>
          </w:p>
        </w:tc>
      </w:tr>
    </w:tbl>
    <w:p>
      <w:pPr>
        <w:pStyle w:val="BodyText"/>
      </w:pPr>
      <w:r>
        <w:t xml:space="preserve">6. Procedure</w:t>
      </w:r>
    </w:p>
    <w:p>
      <w:pPr>
        <w:pStyle w:val="BodyText"/>
      </w:pPr>
      <w:r>
        <w:rPr>
          <w:bCs/>
          <w:b/>
        </w:rPr>
        <w:t xml:space="preserve">6.1 Preparation</w:t>
      </w:r>
    </w:p>
    <w:p>
      <w:pPr>
        <w:numPr>
          <w:ilvl w:val="0"/>
          <w:numId w:val="1003"/>
        </w:numPr>
        <w:pStyle w:val="Compact"/>
      </w:pPr>
      <w:r>
        <w:t xml:space="preserve">Inspect all equipment for functionality and safety.</w:t>
      </w:r>
    </w:p>
    <w:p>
      <w:pPr>
        <w:numPr>
          <w:ilvl w:val="0"/>
          <w:numId w:val="1003"/>
        </w:numPr>
        <w:pStyle w:val="Compact"/>
      </w:pPr>
      <w:r>
        <w:t xml:space="preserve">Calibrate instruments according to manufacturer guidelines.</w:t>
      </w:r>
    </w:p>
    <w:p>
      <w:pPr>
        <w:numPr>
          <w:ilvl w:val="0"/>
          <w:numId w:val="1003"/>
        </w:numPr>
        <w:pStyle w:val="Compact"/>
      </w:pPr>
      <w:r>
        <w:t xml:space="preserve">Prepare reactants and catalyst as specified.</w:t>
      </w:r>
    </w:p>
    <w:p>
      <w:pPr>
        <w:numPr>
          <w:ilvl w:val="0"/>
          <w:numId w:val="1003"/>
        </w:numPr>
        <w:pStyle w:val="Compact"/>
      </w:pPr>
      <w:r>
        <w:t xml:space="preserve">Ensure proper ventilation and emergency systems are operational.</w:t>
      </w:r>
    </w:p>
    <w:p>
      <w:pPr>
        <w:pStyle w:val="FirstParagraph"/>
      </w:pPr>
      <w:r>
        <w:rPr>
          <w:bCs/>
          <w:b/>
        </w:rPr>
        <w:t xml:space="preserve">6.2 Execution</w:t>
      </w:r>
    </w:p>
    <w:p>
      <w:pPr>
        <w:numPr>
          <w:ilvl w:val="0"/>
          <w:numId w:val="1004"/>
        </w:numPr>
        <w:pStyle w:val="Compact"/>
      </w:pPr>
      <w:r>
        <w:t xml:space="preserve">Load reactants and catalyst into the reaction vessel.</w:t>
      </w:r>
    </w:p>
    <w:p>
      <w:pPr>
        <w:numPr>
          <w:ilvl w:val="0"/>
          <w:numId w:val="1004"/>
        </w:numPr>
        <w:pStyle w:val="Compact"/>
      </w:pPr>
      <w:r>
        <w:t xml:space="preserve">Seal the vessel and initiate the reaction under controlled conditions.</w:t>
      </w:r>
    </w:p>
    <w:p>
      <w:pPr>
        <w:numPr>
          <w:ilvl w:val="0"/>
          <w:numId w:val="1004"/>
        </w:numPr>
        <w:pStyle w:val="Compact"/>
      </w:pPr>
      <w:r>
        <w:t xml:space="preserve">Monitor temperature, pressure, and reaction progress continuously.</w:t>
      </w:r>
    </w:p>
    <w:p>
      <w:pPr>
        <w:numPr>
          <w:ilvl w:val="0"/>
          <w:numId w:val="1004"/>
        </w:numPr>
        <w:pStyle w:val="Compact"/>
      </w:pPr>
      <w:r>
        <w:t xml:space="preserve">Record data at regular intervals (every 5 minutes).</w:t>
      </w:r>
    </w:p>
    <w:p>
      <w:pPr>
        <w:numPr>
          <w:ilvl w:val="0"/>
          <w:numId w:val="1004"/>
        </w:numPr>
        <w:pStyle w:val="Compact"/>
      </w:pPr>
      <w:r>
        <w:t xml:space="preserve">Adjust parameters as necessary to maintain optimal conditions.</w:t>
      </w:r>
    </w:p>
    <w:p>
      <w:pPr>
        <w:pStyle w:val="FirstParagraph"/>
      </w:pPr>
      <w:r>
        <w:rPr>
          <w:bCs/>
          <w:b/>
        </w:rPr>
        <w:t xml:space="preserve">6.3 Termination</w:t>
      </w:r>
    </w:p>
    <w:p>
      <w:pPr>
        <w:numPr>
          <w:ilvl w:val="0"/>
          <w:numId w:val="1005"/>
        </w:numPr>
        <w:pStyle w:val="Compact"/>
      </w:pPr>
      <w:r>
        <w:t xml:space="preserve">Gradually cool the reaction vessel to room temperature.</w:t>
      </w:r>
    </w:p>
    <w:p>
      <w:pPr>
        <w:numPr>
          <w:ilvl w:val="0"/>
          <w:numId w:val="1005"/>
        </w:numPr>
        <w:pStyle w:val="Compact"/>
      </w:pPr>
      <w:r>
        <w:t xml:space="preserve">Depressurize the system safely.</w:t>
      </w:r>
    </w:p>
    <w:p>
      <w:pPr>
        <w:numPr>
          <w:ilvl w:val="0"/>
          <w:numId w:val="1005"/>
        </w:numPr>
        <w:pStyle w:val="Compact"/>
      </w:pPr>
      <w:r>
        <w:t xml:space="preserve">Collect and store products according to safety protocols.</w:t>
      </w:r>
    </w:p>
    <w:p>
      <w:pPr>
        <w:numPr>
          <w:ilvl w:val="0"/>
          <w:numId w:val="1005"/>
        </w:numPr>
        <w:pStyle w:val="Compact"/>
      </w:pPr>
      <w:r>
        <w:t xml:space="preserve">Clean and decontaminate all equipment.</w:t>
      </w:r>
    </w:p>
    <w:p>
      <w:pPr>
        <w:pStyle w:val="FirstParagraph"/>
      </w:pPr>
      <w:r>
        <w:t xml:space="preserve">7. Safety Measures</w:t>
      </w:r>
    </w:p>
    <w:p>
      <w:pPr>
        <w:pStyle w:val="BodyText"/>
      </w:pPr>
      <w:r>
        <w:t xml:space="preserve">All personnel must adhere to the following safety measures:</w:t>
      </w:r>
    </w:p>
    <w:p>
      <w:pPr>
        <w:numPr>
          <w:ilvl w:val="0"/>
          <w:numId w:val="1006"/>
        </w:numPr>
        <w:pStyle w:val="Compact"/>
      </w:pPr>
      <w:r>
        <w:t xml:space="preserve">Wear appropriate personal protective equipment (PPE) at all times.</w:t>
      </w:r>
    </w:p>
    <w:p>
      <w:pPr>
        <w:numPr>
          <w:ilvl w:val="0"/>
          <w:numId w:val="1006"/>
        </w:numPr>
        <w:pStyle w:val="Compact"/>
      </w:pPr>
      <w:r>
        <w:t xml:space="preserve">Follow standard operating procedures (SOPs) for handling chemicals.</w:t>
      </w:r>
    </w:p>
    <w:p>
      <w:pPr>
        <w:numPr>
          <w:ilvl w:val="0"/>
          <w:numId w:val="1006"/>
        </w:numPr>
        <w:pStyle w:val="Compact"/>
      </w:pPr>
      <w:r>
        <w:t xml:space="preserve">Be familiar with emergency response plans, including evacuation routes.</w:t>
      </w:r>
    </w:p>
    <w:p>
      <w:pPr>
        <w:numPr>
          <w:ilvl w:val="0"/>
          <w:numId w:val="1006"/>
        </w:numPr>
        <w:pStyle w:val="Compact"/>
      </w:pPr>
      <w:r>
        <w:t xml:space="preserve">Report any incidents or near-misses immediately.</w:t>
      </w:r>
    </w:p>
    <w:p>
      <w:pPr>
        <w:pStyle w:val="FirstParagraph"/>
      </w:pPr>
      <w:r>
        <w:t xml:space="preserve">8. Data Analysis</w:t>
      </w:r>
    </w:p>
    <w:p>
      <w:pPr>
        <w:pStyle w:val="BodyText"/>
      </w:pPr>
      <w:r>
        <w:t xml:space="preserve">Collected data will be analyzed to determine:</w:t>
      </w:r>
    </w:p>
    <w:p>
      <w:pPr>
        <w:numPr>
          <w:ilvl w:val="0"/>
          <w:numId w:val="1007"/>
        </w:numPr>
        <w:pStyle w:val="Compact"/>
      </w:pPr>
      <w:r>
        <w:t xml:space="preserve">Reaction yield and efficiency.</w:t>
      </w:r>
    </w:p>
    <w:p>
      <w:pPr>
        <w:numPr>
          <w:ilvl w:val="0"/>
          <w:numId w:val="1007"/>
        </w:numPr>
        <w:pStyle w:val="Compact"/>
      </w:pPr>
      <w:r>
        <w:t xml:space="preserve">Optimal process parameters.</w:t>
      </w:r>
    </w:p>
    <w:p>
      <w:pPr>
        <w:numPr>
          <w:ilvl w:val="0"/>
          <w:numId w:val="1007"/>
        </w:numPr>
        <w:pStyle w:val="Compact"/>
      </w:pPr>
      <w:r>
        <w:t xml:space="preserve">Any deviations from expected outcomes.</w:t>
      </w:r>
    </w:p>
    <w:p>
      <w:pPr>
        <w:pStyle w:val="FirstParagraph"/>
      </w:pPr>
      <w:r>
        <w:t xml:space="preserve">Statistical methods will be employed to ensure the reliability and validity of the results.</w:t>
      </w:r>
    </w:p>
    <w:p>
      <w:pPr>
        <w:pStyle w:val="BodyText"/>
      </w:pPr>
      <w:r>
        <w:t xml:space="preserve">9. Reporting</w:t>
      </w:r>
    </w:p>
    <w:p>
      <w:pPr>
        <w:pStyle w:val="BodyText"/>
      </w:pPr>
      <w:r>
        <w:t xml:space="preserve">A comprehensive report will be prepared, including:</w:t>
      </w:r>
    </w:p>
    <w:p>
      <w:pPr>
        <w:numPr>
          <w:ilvl w:val="0"/>
          <w:numId w:val="1008"/>
        </w:numPr>
        <w:pStyle w:val="Compact"/>
      </w:pPr>
      <w:r>
        <w:t xml:space="preserve">Summary of objectives and methodology.</w:t>
      </w:r>
    </w:p>
    <w:p>
      <w:pPr>
        <w:numPr>
          <w:ilvl w:val="0"/>
          <w:numId w:val="1008"/>
        </w:numPr>
        <w:pStyle w:val="Compact"/>
      </w:pPr>
      <w:r>
        <w:t xml:space="preserve">Detailed results and analysis.</w:t>
      </w:r>
    </w:p>
    <w:p>
      <w:pPr>
        <w:numPr>
          <w:ilvl w:val="0"/>
          <w:numId w:val="1008"/>
        </w:numPr>
        <w:pStyle w:val="Compact"/>
      </w:pPr>
      <w:r>
        <w:t xml:space="preserve">Conclusions and recommendations.</w:t>
      </w:r>
    </w:p>
    <w:p>
      <w:pPr>
        <w:numPr>
          <w:ilvl w:val="0"/>
          <w:numId w:val="1008"/>
        </w:numPr>
        <w:pStyle w:val="Compact"/>
      </w:pPr>
      <w:r>
        <w:t xml:space="preserve">Any safety or environmental concerns.</w:t>
      </w:r>
    </w:p>
    <w:p>
      <w:pPr>
        <w:pStyle w:val="FirstParagraph"/>
      </w:pPr>
      <w:r>
        <w:t xml:space="preserve">The report will be submitted to the relevant stakeholders within two weeks of experiment completion.</w:t>
      </w:r>
    </w:p>
    <w:p>
      <w:pPr>
        <w:pStyle w:val="BodyText"/>
      </w:pPr>
      <w:r>
        <w:t xml:space="preserve">10. Conclusion</w:t>
      </w:r>
    </w:p>
    <w:p>
      <w:pPr>
        <w:pStyle w:val="BodyText"/>
      </w:pPr>
      <w:r>
        <w:t xml:space="preserve">This Experiment Protocol provides a structured approach for a Chemical Engineer to conduct experiments safely and efficiently in Australia Melbourne. By following this protocol, the engineer can ensure compliance with local regulations, maintain high safety standards, and achieve reliable results.</w:t>
      </w:r>
    </w:p>
    <w:p>
      <w:pPr>
        <w:pStyle w:val="BodyText"/>
      </w:pPr>
      <w:r>
        <w:t xml:space="preserve">Document prepared by: [Your Name]</w:t>
      </w:r>
    </w:p>
    <w:p>
      <w:pPr>
        <w:pStyle w:val="BodyText"/>
      </w:pPr>
      <w:r>
        <w:t xml:space="preserve">Approved by: [Supervisor Name]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Australia Melbourne</dc:title>
  <dc:creator/>
  <dc:language>en</dc:language>
  <cp:keywords/>
  <dcterms:created xsi:type="dcterms:W3CDTF">2026-10-10T03:37:10Z</dcterms:created>
  <dcterms:modified xsi:type="dcterms:W3CDTF">2026-10-10T03:37:10Z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