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Catalytic Reactor Efficiency for Sustainable Chemical Synthesis</w:t>
      </w:r>
    </w:p>
    <w:p>
      <w:pPr>
        <w:pStyle w:val="BodyText"/>
      </w:pPr>
      <w:r>
        <w:rPr>
          <w:bCs/>
          <w:b/>
        </w:rPr>
        <w:t xml:space="preserve">Location:</w:t>
      </w:r>
      <w:r>
        <w:t xml:space="preserve"> </w:t>
      </w:r>
      <w:r>
        <w:t xml:space="preserve">Brussels, Belgium</w:t>
      </w:r>
    </w:p>
    <w:p>
      <w:pPr>
        <w:pStyle w:val="BodyText"/>
      </w:pPr>
      <w:r>
        <w:rPr>
          <w:bCs/>
          <w:b/>
        </w:rPr>
        <w:t xml:space="preserve">Prepared by:</w:t>
      </w:r>
      <w:r>
        <w:t xml:space="preserve"> </w:t>
      </w:r>
      <w:r>
        <w:t xml:space="preserve">Lead Chemical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BE-BRU-CE-2023-001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operational guidelines for a chemical engineering experiment conducted in Brussels, Belgium. The primary objective is to evaluate the performance of a novel catalyst in a continuous flow reactor under controlled conditions. This experiment aims to enhance reaction efficiency while minimizing waste, aligning with Belgium's stringent environmental regulations and sustainability goals.</w:t>
      </w:r>
    </w:p>
    <w:p>
      <w:pPr>
        <w:pStyle w:val="BodyText"/>
      </w:pPr>
      <w:r>
        <w:t xml:space="preserve">The Chemical Engineer responsible for this experiment will ensure compliance with local, national, and European Union standards, including those set by the Belgian Federal Agency for Nuclear Control (FANC) and the Brussels Environment Agency.</w:t>
      </w:r>
    </w:p>
    <w:bookmarkEnd w:id="21"/>
    <w:bookmarkStart w:id="22" w:name="scope-and-applicability"/>
    <w:p>
      <w:pPr>
        <w:pStyle w:val="Heading2"/>
      </w:pPr>
      <w:r>
        <w:t xml:space="preserve">2. Scope and Applicability</w:t>
      </w:r>
    </w:p>
    <w:p>
      <w:pPr>
        <w:pStyle w:val="FirstParagraph"/>
      </w:pPr>
      <w:r>
        <w:t xml:space="preserve">This protocol applies to all personnel involved in the experiment, including the Chemical Engineer, laboratory technicians, and safety officers. It covers the preparation, execution, monitoring, and post-experiment analysis phases. The experiment will be conducted in a certified laboratory facility located in Brussels, Belgium, adhering to the highest standards of chemical engineering practices.</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Continuous Flow Reactor</w:t>
            </w:r>
          </w:p>
        </w:tc>
        <w:tc>
          <w:tcPr/>
          <w:p>
            <w:pPr>
              <w:pStyle w:val="Compact"/>
              <w:jc w:val="left"/>
            </w:pPr>
            <w:r>
              <w:t xml:space="preserve">Stainless Steel, 5L capacity</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Nickel-based, 50g</w:t>
            </w:r>
          </w:p>
        </w:tc>
        <w:tc>
          <w:tcPr/>
          <w:p>
            <w:pPr>
              <w:pStyle w:val="Compact"/>
              <w:jc w:val="left"/>
            </w:pPr>
            <w:r>
              <w:t xml:space="preserve">1 batch</w:t>
            </w:r>
          </w:p>
        </w:tc>
      </w:tr>
      <w:tr>
        <w:tc>
          <w:tcPr/>
          <w:p>
            <w:pPr>
              <w:pStyle w:val="Compact"/>
              <w:jc w:val="left"/>
            </w:pPr>
            <w:r>
              <w:t xml:space="preserve">Reactants</w:t>
            </w:r>
          </w:p>
        </w:tc>
        <w:tc>
          <w:tcPr/>
          <w:p>
            <w:pPr>
              <w:pStyle w:val="Compact"/>
              <w:jc w:val="left"/>
            </w:pPr>
            <w:r>
              <w:t xml:space="preserve">High-purity chemicals (MSDS available)</w:t>
            </w:r>
          </w:p>
        </w:tc>
        <w:tc>
          <w:tcPr/>
          <w:p>
            <w:pPr>
              <w:pStyle w:val="Compact"/>
              <w:jc w:val="left"/>
            </w:pPr>
            <w:r>
              <w:t xml:space="preserve">As required</w:t>
            </w:r>
          </w:p>
        </w:tc>
      </w:tr>
      <w:tr>
        <w:tc>
          <w:tcPr/>
          <w:p>
            <w:pPr>
              <w:pStyle w:val="Compact"/>
              <w:jc w:val="left"/>
            </w:pPr>
            <w:r>
              <w:t xml:space="preserve">Temperature Controller</w:t>
            </w:r>
          </w:p>
        </w:tc>
        <w:tc>
          <w:tcPr/>
          <w:p>
            <w:pPr>
              <w:pStyle w:val="Compact"/>
              <w:jc w:val="left"/>
            </w:pPr>
            <w:r>
              <w:t xml:space="preserve">±1°C accuracy</w:t>
            </w:r>
          </w:p>
        </w:tc>
        <w:tc>
          <w:tcPr/>
          <w:p>
            <w:pPr>
              <w:pStyle w:val="Compact"/>
              <w:jc w:val="left"/>
            </w:pPr>
            <w:r>
              <w:t xml:space="preserve">1</w:t>
            </w:r>
          </w:p>
        </w:tc>
      </w:tr>
      <w:tr>
        <w:tc>
          <w:tcPr/>
          <w:p>
            <w:pPr>
              <w:pStyle w:val="Compact"/>
              <w:jc w:val="left"/>
            </w:pPr>
            <w:r>
              <w:t xml:space="preserve">Pressure Gauge</w:t>
            </w:r>
          </w:p>
        </w:tc>
        <w:tc>
          <w:tcPr/>
          <w:p>
            <w:pPr>
              <w:pStyle w:val="Compact"/>
              <w:jc w:val="left"/>
            </w:pPr>
            <w:r>
              <w:t xml:space="preserve">0-10 bar range</w:t>
            </w:r>
          </w:p>
        </w:tc>
        <w:tc>
          <w:tcPr/>
          <w:p>
            <w:pPr>
              <w:pStyle w:val="Compact"/>
              <w:jc w:val="left"/>
            </w:pPr>
            <w:r>
              <w:t xml:space="preserve">1</w:t>
            </w:r>
          </w:p>
        </w:tc>
      </w:tr>
      <w:tr>
        <w:tc>
          <w:tcPr/>
          <w:p>
            <w:pPr>
              <w:pStyle w:val="Compact"/>
              <w:jc w:val="left"/>
            </w:pPr>
            <w:r>
              <w:t xml:space="preserve">Safety Equipment</w:t>
            </w:r>
          </w:p>
        </w:tc>
        <w:tc>
          <w:tcPr/>
          <w:p>
            <w:pPr>
              <w:pStyle w:val="Compact"/>
              <w:jc w:val="left"/>
            </w:pPr>
            <w:r>
              <w:t xml:space="preserve">PPE, fire extinguisher, spill kit</w:t>
            </w:r>
          </w:p>
        </w:tc>
        <w:tc>
          <w:tcPr/>
          <w:p>
            <w:pPr>
              <w:pStyle w:val="Compact"/>
              <w:jc w:val="left"/>
            </w:pPr>
            <w:r>
              <w:t xml:space="preserve">As per safety standards</w:t>
            </w:r>
          </w:p>
        </w:tc>
      </w:tr>
    </w:tbl>
    <w:bookmarkEnd w:id="23"/>
    <w:bookmarkStart w:id="24" w:name="safety-procedures"/>
    <w:p>
      <w:pPr>
        <w:pStyle w:val="Heading2"/>
      </w:pPr>
      <w:r>
        <w:t xml:space="preserve">4. Safety Procedures</w:t>
      </w:r>
    </w:p>
    <w:p>
      <w:pPr>
        <w:pStyle w:val="FirstParagraph"/>
      </w:pPr>
      <w:r>
        <w:t xml:space="preserve">Safety is paramount in this experiment. The Chemical Engineer must ensure that all personnel are trained in handling hazardous materials and emergency procedures. Key safety measures include:</w:t>
      </w:r>
    </w:p>
    <w:p>
      <w:pPr>
        <w:numPr>
          <w:ilvl w:val="0"/>
          <w:numId w:val="1001"/>
        </w:numPr>
        <w:pStyle w:val="Compact"/>
      </w:pPr>
      <w:r>
        <w:t xml:space="preserve">Wearing appropriate personal protective equipment (PPE), including lab coats, gloves, and safety goggles.</w:t>
      </w:r>
    </w:p>
    <w:p>
      <w:pPr>
        <w:numPr>
          <w:ilvl w:val="0"/>
          <w:numId w:val="1001"/>
        </w:numPr>
        <w:pStyle w:val="Compact"/>
      </w:pPr>
      <w:r>
        <w:t xml:space="preserve">Ensuring proper ventilation in the laboratory to prevent the accumulation of harmful gases.</w:t>
      </w:r>
    </w:p>
    <w:p>
      <w:pPr>
        <w:numPr>
          <w:ilvl w:val="0"/>
          <w:numId w:val="1001"/>
        </w:numPr>
        <w:pStyle w:val="Compact"/>
      </w:pPr>
      <w:r>
        <w:t xml:space="preserve">Regularly checking equipment for leaks or malfunctions.</w:t>
      </w:r>
    </w:p>
    <w:p>
      <w:pPr>
        <w:numPr>
          <w:ilvl w:val="0"/>
          <w:numId w:val="1001"/>
        </w:numPr>
        <w:pStyle w:val="Compact"/>
      </w:pPr>
      <w:r>
        <w:t xml:space="preserve">Having a spill response plan in place, compliant with Brussels' environmental regulations.</w:t>
      </w:r>
    </w:p>
    <w:p>
      <w:pPr>
        <w:numPr>
          <w:ilvl w:val="0"/>
          <w:numId w:val="1001"/>
        </w:numPr>
        <w:pStyle w:val="Compact"/>
      </w:pPr>
      <w:r>
        <w:t xml:space="preserve">Conducting a risk assessment before starting the experiment, as required by Belgian law.</w:t>
      </w:r>
    </w:p>
    <w:bookmarkEnd w:id="24"/>
    <w:bookmarkStart w:id="28" w:name="experimental-procedure"/>
    <w:p>
      <w:pPr>
        <w:pStyle w:val="Heading2"/>
      </w:pPr>
      <w:r>
        <w:t xml:space="preserve">5. Experimental Procedure</w:t>
      </w:r>
    </w:p>
    <w:bookmarkStart w:id="25" w:name="preparation"/>
    <w:p>
      <w:pPr>
        <w:pStyle w:val="Heading3"/>
      </w:pPr>
      <w:r>
        <w:t xml:space="preserve">5.1 Preparation</w:t>
      </w:r>
    </w:p>
    <w:p>
      <w:pPr>
        <w:pStyle w:val="FirstParagraph"/>
      </w:pPr>
      <w:r>
        <w:t xml:space="preserve">The Chemical Engineer will prepare the reactor by cleaning and inspecting it for any defects. The catalyst will be loaded into the reactor according to the manufacturer's specifications. Reactants will be measured and stored in labeled containers, ensuring compatibility and safety.</w:t>
      </w:r>
    </w:p>
    <w:bookmarkEnd w:id="25"/>
    <w:bookmarkStart w:id="26" w:name="execution"/>
    <w:p>
      <w:pPr>
        <w:pStyle w:val="Heading3"/>
      </w:pPr>
      <w:r>
        <w:t xml:space="preserve">5.2 Execution</w:t>
      </w:r>
    </w:p>
    <w:p>
      <w:pPr>
        <w:pStyle w:val="FirstParagraph"/>
      </w:pPr>
      <w:r>
        <w:t xml:space="preserve">The experiment will proceed as follows:</w:t>
      </w:r>
    </w:p>
    <w:p>
      <w:pPr>
        <w:numPr>
          <w:ilvl w:val="0"/>
          <w:numId w:val="1002"/>
        </w:numPr>
        <w:pStyle w:val="Compact"/>
      </w:pPr>
      <w:r>
        <w:t xml:space="preserve">Set the reactor temperature to 150°C using the temperature controller.</w:t>
      </w:r>
    </w:p>
    <w:p>
      <w:pPr>
        <w:numPr>
          <w:ilvl w:val="0"/>
          <w:numId w:val="1002"/>
        </w:numPr>
        <w:pStyle w:val="Compact"/>
      </w:pPr>
      <w:r>
        <w:t xml:space="preserve">Introduce the reactants into the reactor at a controlled flow rate.</w:t>
      </w:r>
    </w:p>
    <w:p>
      <w:pPr>
        <w:numPr>
          <w:ilvl w:val="0"/>
          <w:numId w:val="1002"/>
        </w:numPr>
        <w:pStyle w:val="Compact"/>
      </w:pPr>
      <w:r>
        <w:t xml:space="preserve">Maintain the pressure at 5 bar throughout the reaction.</w:t>
      </w:r>
    </w:p>
    <w:p>
      <w:pPr>
        <w:numPr>
          <w:ilvl w:val="0"/>
          <w:numId w:val="1002"/>
        </w:numPr>
        <w:pStyle w:val="Compact"/>
      </w:pPr>
      <w:r>
        <w:t xml:space="preserve">Monitor the reaction progress using online analytical tools.</w:t>
      </w:r>
    </w:p>
    <w:p>
      <w:pPr>
        <w:numPr>
          <w:ilvl w:val="0"/>
          <w:numId w:val="1002"/>
        </w:numPr>
        <w:pStyle w:val="Compact"/>
      </w:pPr>
      <w:r>
        <w:t xml:space="preserve">Collect samples at regular intervals for offline analysis.</w:t>
      </w:r>
    </w:p>
    <w:bookmarkEnd w:id="26"/>
    <w:bookmarkStart w:id="27" w:name="monitoring"/>
    <w:p>
      <w:pPr>
        <w:pStyle w:val="Heading3"/>
      </w:pPr>
      <w:r>
        <w:t xml:space="preserve">5.3 Monitoring</w:t>
      </w:r>
    </w:p>
    <w:p>
      <w:pPr>
        <w:pStyle w:val="FirstParagraph"/>
      </w:pPr>
      <w:r>
        <w:t xml:space="preserve">The Chemical Engineer will continuously monitor key parameters, including temperature, pressure, flow rate, and reaction yield. Any deviations from the expected values will be recorded and addressed immediately.</w:t>
      </w:r>
    </w:p>
    <w:bookmarkEnd w:id="27"/>
    <w:bookmarkEnd w:id="28"/>
    <w:bookmarkStart w:id="29" w:name="data-collection-and-analysis"/>
    <w:p>
      <w:pPr>
        <w:pStyle w:val="Heading2"/>
      </w:pPr>
      <w:r>
        <w:t xml:space="preserve">6. Data Collection and Analysis</w:t>
      </w:r>
    </w:p>
    <w:p>
      <w:pPr>
        <w:pStyle w:val="FirstParagraph"/>
      </w:pPr>
      <w:r>
        <w:t xml:space="preserve">Data will be collected using automated sensors and manual sampling. The Chemical Engineer will analyze the data to determine the catalyst's efficiency, reaction kinetics, and product purity. Statistical methods will be employed to ensure the reliability of the results. All data will be stored securely and made available for review by relevant authorities in Brussels, Belgium.</w:t>
      </w:r>
    </w:p>
    <w:bookmarkEnd w:id="29"/>
    <w:bookmarkStart w:id="30" w:name="waste-management"/>
    <w:p>
      <w:pPr>
        <w:pStyle w:val="Heading2"/>
      </w:pPr>
      <w:r>
        <w:t xml:space="preserve">7. Waste Management</w:t>
      </w:r>
    </w:p>
    <w:p>
      <w:pPr>
        <w:pStyle w:val="FirstParagraph"/>
      </w:pPr>
      <w:r>
        <w:t xml:space="preserve">Waste generated during the experiment will be handled in accordance with Belgian and EU regulations. Hazardous waste will be segregated, labeled, and disposed of through certified waste management facilities in Brussels. The Chemical Engineer will ensure that all waste disposal activities are documented and reported as required.</w:t>
      </w:r>
    </w:p>
    <w:bookmarkEnd w:id="30"/>
    <w:bookmarkStart w:id="31" w:name="emergency-procedures"/>
    <w:p>
      <w:pPr>
        <w:pStyle w:val="Heading2"/>
      </w:pPr>
      <w:r>
        <w:t xml:space="preserve">8. Emergency Procedures</w:t>
      </w:r>
    </w:p>
    <w:p>
      <w:pPr>
        <w:pStyle w:val="FirstParagraph"/>
      </w:pPr>
      <w:r>
        <w:t xml:space="preserve">In the event of an emergency, such as a chemical spill or equipment failure, the following steps will be taken:</w:t>
      </w:r>
    </w:p>
    <w:p>
      <w:pPr>
        <w:numPr>
          <w:ilvl w:val="0"/>
          <w:numId w:val="1003"/>
        </w:numPr>
        <w:pStyle w:val="Compact"/>
      </w:pPr>
      <w:r>
        <w:t xml:space="preserve">Evacuate the laboratory immediately.</w:t>
      </w:r>
    </w:p>
    <w:p>
      <w:pPr>
        <w:numPr>
          <w:ilvl w:val="0"/>
          <w:numId w:val="1003"/>
        </w:numPr>
        <w:pStyle w:val="Compact"/>
      </w:pPr>
      <w:r>
        <w:t xml:space="preserve">Activate the emergency alarm system.</w:t>
      </w:r>
    </w:p>
    <w:p>
      <w:pPr>
        <w:numPr>
          <w:ilvl w:val="0"/>
          <w:numId w:val="1003"/>
        </w:numPr>
        <w:pStyle w:val="Compact"/>
      </w:pPr>
      <w:r>
        <w:t xml:space="preserve">Contact the laboratory safety officer and local emergency services.</w:t>
      </w:r>
    </w:p>
    <w:p>
      <w:pPr>
        <w:numPr>
          <w:ilvl w:val="0"/>
          <w:numId w:val="1003"/>
        </w:numPr>
        <w:pStyle w:val="Compact"/>
      </w:pPr>
      <w:r>
        <w:t xml:space="preserve">Follow the spill response plan to contain and clean up the hazard.</w:t>
      </w:r>
    </w:p>
    <w:p>
      <w:pPr>
        <w:numPr>
          <w:ilvl w:val="0"/>
          <w:numId w:val="1003"/>
        </w:numPr>
        <w:pStyle w:val="Compact"/>
      </w:pPr>
      <w:r>
        <w:t xml:space="preserve">Conduct a post-incident review to identify causes and prevent recurrence.</w:t>
      </w:r>
    </w:p>
    <w:bookmarkEnd w:id="31"/>
    <w:bookmarkStart w:id="32" w:name="conclusion"/>
    <w:p>
      <w:pPr>
        <w:pStyle w:val="Heading2"/>
      </w:pPr>
      <w:r>
        <w:t xml:space="preserve">9. Conclusion</w:t>
      </w:r>
    </w:p>
    <w:p>
      <w:pPr>
        <w:pStyle w:val="FirstParagraph"/>
      </w:pPr>
      <w:r>
        <w:t xml:space="preserve">This Experiment Protocol provides a comprehensive framework for conducting a chemical engineering experiment in Brussels, Belgium. By adhering to these guidelines, the Chemical Engineer will ensure the safety, efficiency, and compliance of the experiment, contributing to advancements in sustainable chemical synthesis.</w:t>
      </w:r>
    </w:p>
    <w:bookmarkEnd w:id="32"/>
    <w:p>
      <w:pPr>
        <w:pStyle w:val="BodyText"/>
      </w:pPr>
      <w:r>
        <w:rPr>
          <w:bCs/>
          <w:b/>
        </w:rPr>
        <w:t xml:space="preserve">Approved by:</w:t>
      </w:r>
    </w:p>
    <w:p>
      <w:pPr>
        <w:pStyle w:val="BodyText"/>
      </w:pPr>
      <w:r>
        <w:t xml:space="preserve">___________________________</w:t>
      </w:r>
    </w:p>
    <w:p>
      <w:pPr>
        <w:pStyle w:val="BodyText"/>
      </w:pPr>
      <w:r>
        <w:t xml:space="preserve">Lead Chemical Engineer</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Brussels, Belgium</dc:title>
  <dc:creator/>
  <dc:language>en</dc:language>
  <cp:keywords/>
  <dcterms:created xsi:type="dcterms:W3CDTF">2026-10-10T05:08:13Z</dcterms:created>
  <dcterms:modified xsi:type="dcterms:W3CDTF">2026-10-10T05:08:13Z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