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Chemical</w:t>
      </w:r>
      <w:r>
        <w:t xml:space="preserve"> </w:t>
      </w:r>
      <w:r>
        <w:t xml:space="preserve">Engineer</w:t>
      </w:r>
      <w:r>
        <w:t xml:space="preserve"> </w:t>
      </w:r>
      <w:r>
        <w:t xml:space="preserve">-</w:t>
      </w:r>
      <w:r>
        <w:t xml:space="preserve"> </w:t>
      </w:r>
      <w:r>
        <w:t xml:space="preserve">Brazil</w:t>
      </w:r>
      <w:r>
        <w:t xml:space="preserve"> </w:t>
      </w:r>
      <w:r>
        <w:t xml:space="preserve">Brasília</w:t>
      </w:r>
    </w:p>
    <w:bookmarkStart w:id="20" w:name="X818fae0c350a1dcf3e4c5f6f16be827d2916768"/>
    <w:p>
      <w:pPr>
        <w:pStyle w:val="Heading1"/>
      </w:pPr>
      <w:r>
        <w:t xml:space="preserve">Experiment Protocol: Chemical Engineer - Brazil Brasília</w:t>
      </w:r>
    </w:p>
    <w:p>
      <w:pPr>
        <w:pStyle w:val="FirstParagraph"/>
      </w:pPr>
      <w:r>
        <w:rPr>
          <w:bCs/>
          <w:b/>
        </w:rPr>
        <w:t xml:space="preserve">Document ID:</w:t>
      </w:r>
      <w:r>
        <w:t xml:space="preserve"> </w:t>
      </w:r>
      <w:r>
        <w:t xml:space="preserve">CP-BRB-CE-2024-001</w:t>
      </w:r>
    </w:p>
    <w:p>
      <w:pPr>
        <w:pStyle w:val="BodyText"/>
      </w:pPr>
      <w:r>
        <w:rPr>
          <w:bCs/>
          <w:b/>
        </w:rPr>
        <w:t xml:space="preserve">Location:</w:t>
      </w:r>
      <w:r>
        <w:t xml:space="preserve"> </w:t>
      </w:r>
      <w:r>
        <w:t xml:space="preserve">Brasília, Federal District, Brazil</w:t>
      </w:r>
    </w:p>
    <w:p>
      <w:pPr>
        <w:pStyle w:val="BodyText"/>
      </w:pPr>
      <w:r>
        <w:rPr>
          <w:bCs/>
          <w:b/>
        </w:rPr>
        <w:t xml:space="preserve">Discipline:</w:t>
      </w:r>
      <w:r>
        <w:t xml:space="preserve"> </w:t>
      </w:r>
      <w:r>
        <w:t xml:space="preserve">Chemical Engineering</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safety measures, and technical requirements for conducting chemical engineering experiments in Brasília, Brazil. The primary objective is to evaluate the efficiency of a novel catalytic process for biofuel production using locally sourced biomass. This protocol is designed to ensure compliance with Brazilian regulatory standards, including those set by the National Health Surveillance Agency (ANVISA) and the Brazilian Association of Technical Standards (ABNT).</w:t>
      </w:r>
    </w:p>
    <w:p>
      <w:pPr>
        <w:pStyle w:val="BodyText"/>
      </w:pPr>
      <w:r>
        <w:t xml:space="preserve">The experiment will be conducted by a team of Chemical Engineers at a research facility in Brasília, leveraging the city's advanced infrastructure and proximity to key government agencies. The protocol emphasizes precision, safety, and environmental responsibility, reflecting the high standards expected in the field of Chemical Engineering.</w:t>
      </w:r>
    </w:p>
    <w:bookmarkEnd w:id="21"/>
    <w:bookmarkStart w:id="22" w:name="scope-and-applicability"/>
    <w:p>
      <w:pPr>
        <w:pStyle w:val="Heading2"/>
      </w:pPr>
      <w:r>
        <w:t xml:space="preserve">2. Scope and Applicability</w:t>
      </w:r>
    </w:p>
    <w:p>
      <w:pPr>
        <w:pStyle w:val="FirstParagraph"/>
      </w:pPr>
      <w:r>
        <w:t xml:space="preserve">This protocol applies to all personnel involved in the experiment, including Chemical Engineers, technicians, and support staff. It covers the entire experimental process, from preparation and execution to data analysis and reporting. The protocol is specifically tailored to the conditions in Brasília, considering factors such as climate, local regulations, and available resources.</w:t>
      </w:r>
    </w:p>
    <w:bookmarkEnd w:id="22"/>
    <w:bookmarkStart w:id="25" w:name="materials-and-equipment"/>
    <w:p>
      <w:pPr>
        <w:pStyle w:val="Heading2"/>
      </w:pPr>
      <w:r>
        <w:t xml:space="preserve">3. Materials and Equipment</w:t>
      </w:r>
    </w:p>
    <w:bookmarkStart w:id="23" w:name="materials"/>
    <w:p>
      <w:pPr>
        <w:pStyle w:val="Heading3"/>
      </w:pPr>
      <w:r>
        <w:t xml:space="preserve">3.1 Materials</w:t>
      </w:r>
    </w:p>
    <w:p>
      <w:pPr>
        <w:numPr>
          <w:ilvl w:val="0"/>
          <w:numId w:val="1001"/>
        </w:numPr>
        <w:pStyle w:val="Compact"/>
      </w:pPr>
      <w:r>
        <w:t xml:space="preserve">Biomass feedstock (e.g., sugarcane bagasse, eucalyptus wood chips)</w:t>
      </w:r>
    </w:p>
    <w:p>
      <w:pPr>
        <w:numPr>
          <w:ilvl w:val="0"/>
          <w:numId w:val="1001"/>
        </w:numPr>
        <w:pStyle w:val="Compact"/>
      </w:pPr>
      <w:r>
        <w:t xml:space="preserve">Catalysts (e.g., zeolites, metal oxides)</w:t>
      </w:r>
    </w:p>
    <w:p>
      <w:pPr>
        <w:numPr>
          <w:ilvl w:val="0"/>
          <w:numId w:val="1001"/>
        </w:numPr>
        <w:pStyle w:val="Compact"/>
      </w:pPr>
      <w:r>
        <w:t xml:space="preserve">Solvents (e.g., ethanol, water)</w:t>
      </w:r>
    </w:p>
    <w:p>
      <w:pPr>
        <w:numPr>
          <w:ilvl w:val="0"/>
          <w:numId w:val="1001"/>
        </w:numPr>
        <w:pStyle w:val="Compact"/>
      </w:pPr>
      <w:r>
        <w:t xml:space="preserve">Reagents for analysis (e.g., acids, bases, indicators)</w:t>
      </w:r>
    </w:p>
    <w:bookmarkEnd w:id="23"/>
    <w:bookmarkStart w:id="24" w:name="equipment"/>
    <w:p>
      <w:pPr>
        <w:pStyle w:val="Heading3"/>
      </w:pPr>
      <w:r>
        <w:t xml:space="preserve">3.2 Equipment</w:t>
      </w:r>
    </w:p>
    <w:p>
      <w:pPr>
        <w:numPr>
          <w:ilvl w:val="0"/>
          <w:numId w:val="1002"/>
        </w:numPr>
        <w:pStyle w:val="Compact"/>
      </w:pPr>
      <w:r>
        <w:t xml:space="preserve">Reactor system (batch or continuous)</w:t>
      </w:r>
    </w:p>
    <w:p>
      <w:pPr>
        <w:numPr>
          <w:ilvl w:val="0"/>
          <w:numId w:val="1002"/>
        </w:numPr>
        <w:pStyle w:val="Compact"/>
      </w:pPr>
      <w:r>
        <w:t xml:space="preserve">Heating and cooling units</w:t>
      </w:r>
    </w:p>
    <w:p>
      <w:pPr>
        <w:numPr>
          <w:ilvl w:val="0"/>
          <w:numId w:val="1002"/>
        </w:numPr>
        <w:pStyle w:val="Compact"/>
      </w:pPr>
      <w:r>
        <w:t xml:space="preserve">Pressure and temperature sensors</w:t>
      </w:r>
    </w:p>
    <w:p>
      <w:pPr>
        <w:numPr>
          <w:ilvl w:val="0"/>
          <w:numId w:val="1002"/>
        </w:numPr>
        <w:pStyle w:val="Compact"/>
      </w:pPr>
      <w:r>
        <w:t xml:space="preserve">Gas chromatograph (GC)</w:t>
      </w:r>
    </w:p>
    <w:p>
      <w:pPr>
        <w:numPr>
          <w:ilvl w:val="0"/>
          <w:numId w:val="1002"/>
        </w:numPr>
        <w:pStyle w:val="Compact"/>
      </w:pPr>
      <w:r>
        <w:t xml:space="preserve">High-performance liquid chromatograph (HPLC)</w:t>
      </w:r>
    </w:p>
    <w:p>
      <w:pPr>
        <w:numPr>
          <w:ilvl w:val="0"/>
          <w:numId w:val="1002"/>
        </w:numPr>
        <w:pStyle w:val="Compact"/>
      </w:pPr>
      <w:r>
        <w:t xml:space="preserve">Safety equipment (e.g., fume hoods, fire extinguishers, personal protective equipment)</w:t>
      </w:r>
    </w:p>
    <w:bookmarkEnd w:id="24"/>
    <w:bookmarkEnd w:id="25"/>
    <w:bookmarkStart w:id="26" w:name="safety-procedures"/>
    <w:p>
      <w:pPr>
        <w:pStyle w:val="Heading2"/>
      </w:pPr>
      <w:r>
        <w:t xml:space="preserve">4. Safety Procedures</w:t>
      </w:r>
    </w:p>
    <w:p>
      <w:pPr>
        <w:pStyle w:val="FirstParagraph"/>
      </w:pPr>
      <w:r>
        <w:t xml:space="preserve">Safety is paramount in any Chemical Engineering experiment. The following procedures must be strictly followed:</w:t>
      </w:r>
    </w:p>
    <w:p>
      <w:pPr>
        <w:numPr>
          <w:ilvl w:val="0"/>
          <w:numId w:val="1003"/>
        </w:numPr>
        <w:pStyle w:val="Compact"/>
      </w:pPr>
      <w:r>
        <w:rPr>
          <w:bCs/>
          <w:b/>
        </w:rPr>
        <w:t xml:space="preserve">Personal Protective Equipment (PPE):</w:t>
      </w:r>
      <w:r>
        <w:t xml:space="preserve"> </w:t>
      </w:r>
      <w:r>
        <w:t xml:space="preserve">All personnel must wear appropriate PPE, including lab coats, safety goggles, gloves, and closed-toe shoes.</w:t>
      </w:r>
    </w:p>
    <w:p>
      <w:pPr>
        <w:numPr>
          <w:ilvl w:val="0"/>
          <w:numId w:val="1003"/>
        </w:numPr>
        <w:pStyle w:val="Compact"/>
      </w:pPr>
      <w:r>
        <w:rPr>
          <w:bCs/>
          <w:b/>
        </w:rPr>
        <w:t xml:space="preserve">Chemical Handling:</w:t>
      </w:r>
      <w:r>
        <w:t xml:space="preserve"> </w:t>
      </w:r>
      <w:r>
        <w:t xml:space="preserve">Follow the Safety Data Sheets (SDS) for all chemicals used. Store chemicals in designated areas, away from incompatible substances.</w:t>
      </w:r>
    </w:p>
    <w:p>
      <w:pPr>
        <w:numPr>
          <w:ilvl w:val="0"/>
          <w:numId w:val="1003"/>
        </w:numPr>
        <w:pStyle w:val="Compact"/>
      </w:pPr>
      <w:r>
        <w:rPr>
          <w:bCs/>
          <w:b/>
        </w:rPr>
        <w:t xml:space="preserve">Emergency Procedures:</w:t>
      </w:r>
      <w:r>
        <w:t xml:space="preserve"> </w:t>
      </w:r>
      <w:r>
        <w:t xml:space="preserve">Ensure that all personnel are familiar with emergency exits, fire extinguishers, and first aid kits. Conduct regular safety drills.</w:t>
      </w:r>
    </w:p>
    <w:p>
      <w:pPr>
        <w:numPr>
          <w:ilvl w:val="0"/>
          <w:numId w:val="1003"/>
        </w:numPr>
        <w:pStyle w:val="Compact"/>
      </w:pPr>
      <w:r>
        <w:rPr>
          <w:bCs/>
          <w:b/>
        </w:rPr>
        <w:t xml:space="preserve">Waste Disposal:</w:t>
      </w:r>
      <w:r>
        <w:t xml:space="preserve"> </w:t>
      </w:r>
      <w:r>
        <w:t xml:space="preserve">Dispose of chemical waste according to Brazilian environmental regulations. Use designated containers for hazardous waste.</w:t>
      </w:r>
    </w:p>
    <w:p>
      <w:pPr>
        <w:pStyle w:val="FirstParagraph"/>
      </w:pPr>
      <w:r>
        <w:rPr>
          <w:bCs/>
          <w:b/>
        </w:rPr>
        <w:t xml:space="preserve">Warning:</w:t>
      </w:r>
      <w:r>
        <w:t xml:space="preserve"> </w:t>
      </w:r>
      <w:r>
        <w:t xml:space="preserve">Failure to adhere to safety procedures may result in serious injury, environmental damage, or legal consequences.</w:t>
      </w:r>
    </w:p>
    <w:bookmarkEnd w:id="26"/>
    <w:bookmarkStart w:id="30" w:name="experimental-procedure"/>
    <w:p>
      <w:pPr>
        <w:pStyle w:val="Heading2"/>
      </w:pPr>
      <w:r>
        <w:t xml:space="preserve">5. Experimental Procedure</w:t>
      </w:r>
    </w:p>
    <w:bookmarkStart w:id="27" w:name="preparation"/>
    <w:p>
      <w:pPr>
        <w:pStyle w:val="Heading3"/>
      </w:pPr>
      <w:r>
        <w:t xml:space="preserve">5.1 Preparation</w:t>
      </w:r>
    </w:p>
    <w:p>
      <w:pPr>
        <w:numPr>
          <w:ilvl w:val="0"/>
          <w:numId w:val="1004"/>
        </w:numPr>
        <w:pStyle w:val="Compact"/>
      </w:pPr>
      <w:r>
        <w:t xml:space="preserve">Calibrate all equipment according to manufacturer specifications.</w:t>
      </w:r>
    </w:p>
    <w:p>
      <w:pPr>
        <w:numPr>
          <w:ilvl w:val="0"/>
          <w:numId w:val="1004"/>
        </w:numPr>
        <w:pStyle w:val="Compact"/>
      </w:pPr>
      <w:r>
        <w:t xml:space="preserve">Prepare the biomass feedstock by drying and grinding it to the desired particle size.</w:t>
      </w:r>
    </w:p>
    <w:p>
      <w:pPr>
        <w:numPr>
          <w:ilvl w:val="0"/>
          <w:numId w:val="1004"/>
        </w:numPr>
        <w:pStyle w:val="Compact"/>
      </w:pPr>
      <w:r>
        <w:t xml:space="preserve">Prepare the catalyst solution by mixing the catalyst with the appropriate solvent.</w:t>
      </w:r>
    </w:p>
    <w:p>
      <w:pPr>
        <w:numPr>
          <w:ilvl w:val="0"/>
          <w:numId w:val="1004"/>
        </w:numPr>
        <w:pStyle w:val="Compact"/>
      </w:pPr>
      <w:r>
        <w:t xml:space="preserve">Set up the reactor system, ensuring all connections are secure and leak-free.</w:t>
      </w:r>
    </w:p>
    <w:bookmarkEnd w:id="27"/>
    <w:bookmarkStart w:id="28" w:name="execution"/>
    <w:p>
      <w:pPr>
        <w:pStyle w:val="Heading3"/>
      </w:pPr>
      <w:r>
        <w:t xml:space="preserve">5.2 Execution</w:t>
      </w:r>
    </w:p>
    <w:p>
      <w:pPr>
        <w:numPr>
          <w:ilvl w:val="0"/>
          <w:numId w:val="1005"/>
        </w:numPr>
        <w:pStyle w:val="Compact"/>
      </w:pPr>
      <w:r>
        <w:t xml:space="preserve">Load the biomass feedstock and catalyst solution into the reactor.</w:t>
      </w:r>
    </w:p>
    <w:p>
      <w:pPr>
        <w:numPr>
          <w:ilvl w:val="0"/>
          <w:numId w:val="1005"/>
        </w:numPr>
        <w:pStyle w:val="Compact"/>
      </w:pPr>
      <w:r>
        <w:t xml:space="preserve">Initiate the reaction by heating the reactor to the specified temperature (e.g., 250°C).</w:t>
      </w:r>
    </w:p>
    <w:p>
      <w:pPr>
        <w:numPr>
          <w:ilvl w:val="0"/>
          <w:numId w:val="1005"/>
        </w:numPr>
        <w:pStyle w:val="Compact"/>
      </w:pPr>
      <w:r>
        <w:t xml:space="preserve">Maintain the reaction conditions (temperature, pressure, stirring speed) for the desired duration (e.g., 4 hours).</w:t>
      </w:r>
    </w:p>
    <w:p>
      <w:pPr>
        <w:numPr>
          <w:ilvl w:val="0"/>
          <w:numId w:val="1005"/>
        </w:numPr>
        <w:pStyle w:val="Compact"/>
      </w:pPr>
      <w:r>
        <w:t xml:space="preserve">Collect samples at regular intervals for analysis.</w:t>
      </w:r>
    </w:p>
    <w:bookmarkEnd w:id="28"/>
    <w:bookmarkStart w:id="29" w:name="analysis"/>
    <w:p>
      <w:pPr>
        <w:pStyle w:val="Heading3"/>
      </w:pPr>
      <w:r>
        <w:t xml:space="preserve">5.3 Analysis</w:t>
      </w:r>
    </w:p>
    <w:p>
      <w:pPr>
        <w:numPr>
          <w:ilvl w:val="0"/>
          <w:numId w:val="1006"/>
        </w:numPr>
        <w:pStyle w:val="Compact"/>
      </w:pPr>
      <w:r>
        <w:t xml:space="preserve">Analyze the samples using GC and HPLC to determine the composition of the biofuel.</w:t>
      </w:r>
    </w:p>
    <w:p>
      <w:pPr>
        <w:numPr>
          <w:ilvl w:val="0"/>
          <w:numId w:val="1006"/>
        </w:numPr>
        <w:pStyle w:val="Compact"/>
      </w:pPr>
      <w:r>
        <w:t xml:space="preserve">Calculate the conversion efficiency and selectivity of the catalytic process.</w:t>
      </w:r>
    </w:p>
    <w:p>
      <w:pPr>
        <w:numPr>
          <w:ilvl w:val="0"/>
          <w:numId w:val="1006"/>
        </w:numPr>
        <w:pStyle w:val="Compact"/>
      </w:pPr>
      <w:r>
        <w:t xml:space="preserve">Compare the results with theoretical predictions and previous experiments.</w:t>
      </w:r>
    </w:p>
    <w:bookmarkEnd w:id="29"/>
    <w:bookmarkEnd w:id="30"/>
    <w:bookmarkStart w:id="31" w:name="data-recording-and-reporting"/>
    <w:p>
      <w:pPr>
        <w:pStyle w:val="Heading2"/>
      </w:pPr>
      <w:r>
        <w:t xml:space="preserve">6. Data Recording and Reporting</w:t>
      </w:r>
    </w:p>
    <w:p>
      <w:pPr>
        <w:pStyle w:val="FirstParagraph"/>
      </w:pPr>
      <w:r>
        <w:t xml:space="preserve">All data must be recorded accurately and systematically. Use standardized forms and digital tools to ensure data integrity. The final report should include:</w:t>
      </w:r>
    </w:p>
    <w:p>
      <w:pPr>
        <w:numPr>
          <w:ilvl w:val="0"/>
          <w:numId w:val="1007"/>
        </w:numPr>
        <w:pStyle w:val="Compact"/>
      </w:pPr>
      <w:r>
        <w:t xml:space="preserve">Introduction and objectives</w:t>
      </w:r>
    </w:p>
    <w:p>
      <w:pPr>
        <w:numPr>
          <w:ilvl w:val="0"/>
          <w:numId w:val="1007"/>
        </w:numPr>
        <w:pStyle w:val="Compact"/>
      </w:pPr>
      <w:r>
        <w:t xml:space="preserve">Materials and methods</w:t>
      </w:r>
    </w:p>
    <w:p>
      <w:pPr>
        <w:numPr>
          <w:ilvl w:val="0"/>
          <w:numId w:val="1007"/>
        </w:numPr>
        <w:pStyle w:val="Compact"/>
      </w:pPr>
      <w:r>
        <w:t xml:space="preserve">Results and discussion</w:t>
      </w:r>
    </w:p>
    <w:p>
      <w:pPr>
        <w:numPr>
          <w:ilvl w:val="0"/>
          <w:numId w:val="1007"/>
        </w:numPr>
        <w:pStyle w:val="Compact"/>
      </w:pPr>
      <w:r>
        <w:t xml:space="preserve">Conclusions and recommendations</w:t>
      </w:r>
    </w:p>
    <w:p>
      <w:pPr>
        <w:numPr>
          <w:ilvl w:val="0"/>
          <w:numId w:val="1007"/>
        </w:numPr>
        <w:pStyle w:val="Compact"/>
      </w:pPr>
      <w:r>
        <w:t xml:space="preserve">Appendices (e.g., raw data, calibration certificates)</w:t>
      </w:r>
    </w:p>
    <w:p>
      <w:pPr>
        <w:pStyle w:val="FirstParagraph"/>
      </w:pPr>
      <w:r>
        <w:t xml:space="preserve">The report should be submitted to the relevant authorities in Brasília, including the Ministry of Science, Technology, Innovations and Communications (MCTIC), for review and approval.</w:t>
      </w:r>
    </w:p>
    <w:bookmarkEnd w:id="31"/>
    <w:bookmarkStart w:id="32" w:name="environmental-considerations"/>
    <w:p>
      <w:pPr>
        <w:pStyle w:val="Heading2"/>
      </w:pPr>
      <w:r>
        <w:t xml:space="preserve">7. Environmental Considerations</w:t>
      </w:r>
    </w:p>
    <w:p>
      <w:pPr>
        <w:pStyle w:val="FirstParagraph"/>
      </w:pPr>
      <w:r>
        <w:t xml:space="preserve">Given the location in Brasília, this protocol places significant emphasis on environmental sustainability. All processes must minimize waste generation and energy consumption. Use renewable energy sources where possible, and implement recycling programs for solvents and other materials. Regular environmental impact assessments should be conducted to ensure compliance with Brazilian environmental laws.</w:t>
      </w:r>
    </w:p>
    <w:bookmarkEnd w:id="32"/>
    <w:bookmarkStart w:id="33" w:name="conclusion"/>
    <w:p>
      <w:pPr>
        <w:pStyle w:val="Heading2"/>
      </w:pPr>
      <w:r>
        <w:t xml:space="preserve">8. Conclusion</w:t>
      </w:r>
    </w:p>
    <w:p>
      <w:pPr>
        <w:pStyle w:val="FirstParagraph"/>
      </w:pPr>
      <w:r>
        <w:t xml:space="preserve">This Experiment Protocol provides a comprehensive framework for conducting chemical engineering experiments in Brasília, Brazil. By adhering to the outlined procedures, safety measures, and regulatory requirements, Chemical Engineers can ensure the success and integrity of their research. This protocol not only supports scientific advancement but also contributes to the sustainable development of the region.</w:t>
      </w:r>
    </w:p>
    <w:p>
      <w:pPr>
        <w:pStyle w:val="BodyText"/>
      </w:pPr>
      <w:r>
        <w:rPr>
          <w:bCs/>
          <w:b/>
        </w:rPr>
        <w:t xml:space="preserve">Prepared by:</w:t>
      </w:r>
      <w:r>
        <w:t xml:space="preserve"> </w:t>
      </w:r>
      <w:r>
        <w:t xml:space="preserve">[Name of Chemical Engineer]</w:t>
      </w:r>
      <w:r>
        <w:br/>
      </w:r>
      <w:r>
        <w:rPr>
          <w:bCs/>
          <w:b/>
        </w:rPr>
        <w:t xml:space="preserve">Approved by:</w:t>
      </w:r>
      <w:r>
        <w:t xml:space="preserve"> </w:t>
      </w:r>
      <w:r>
        <w:t xml:space="preserve">[Name of Supervisor]</w:t>
      </w:r>
      <w:r>
        <w:br/>
      </w:r>
      <w:r>
        <w:rPr>
          <w:bCs/>
          <w:b/>
        </w:rPr>
        <w:t xml:space="preserve">Organization:</w:t>
      </w:r>
      <w:r>
        <w:t xml:space="preserve"> </w:t>
      </w:r>
      <w:r>
        <w:t xml:space="preserve">[Name of Institution/Company]</w:t>
      </w:r>
      <w:r>
        <w:br/>
      </w:r>
      <w:r>
        <w:rPr>
          <w:bCs/>
          <w:b/>
        </w:rPr>
        <w:t xml:space="preserve">Location:</w:t>
      </w:r>
      <w:r>
        <w:t xml:space="preserve"> </w:t>
      </w:r>
      <w:r>
        <w:t xml:space="preserve">Brasília, Federal District, Brazil</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Chemical Engineer - Brazil Brasília</dc:title>
  <dc:creator/>
  <dc:language>en</dc:language>
  <cp:keywords/>
  <dcterms:created xsi:type="dcterms:W3CDTF">2026-10-10T04:08:22Z</dcterms:created>
  <dcterms:modified xsi:type="dcterms:W3CDTF">2026-10-10T04:08:22Z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