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is designed for a Chemical Engineer conducting research in Brazil São Paulo. The protocol outlines the procedures, safety measures, and documentation requirements necessary for conducting chemical experiments in compliance with local regulations and best practices. The focus is on ensuring accuracy, safety, and reproducibility in all experimental activities.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efficiency of a new catalytic process for ethanol production.</w:t>
      </w:r>
    </w:p>
    <w:p>
      <w:pPr>
        <w:numPr>
          <w:ilvl w:val="0"/>
          <w:numId w:val="1001"/>
        </w:numPr>
        <w:pStyle w:val="Compact"/>
      </w:pPr>
      <w:r>
        <w:t xml:space="preserve">To analyze the impact of temperature and pressure variations on reaction yield.</w:t>
      </w:r>
    </w:p>
    <w:p>
      <w:pPr>
        <w:numPr>
          <w:ilvl w:val="0"/>
          <w:numId w:val="1001"/>
        </w:numPr>
        <w:pStyle w:val="Compact"/>
      </w:pPr>
      <w:r>
        <w:t xml:space="preserve">To ensure compliance with environmental and safety standards in Brazil São Paulo.</w:t>
      </w:r>
    </w:p>
    <w:p>
      <w:pPr>
        <w:pStyle w:val="FirstParagraph"/>
      </w:pPr>
      <w:r>
        <w:t xml:space="preserve">3. Scope</w:t>
      </w:r>
    </w:p>
    <w:p>
      <w:pPr>
        <w:pStyle w:val="BodyText"/>
      </w:pPr>
      <w:r>
        <w:t xml:space="preserve">This protocol applies to all Chemical Engineers and laboratory personnel involved in the experiment. It covers the preparation, execution, monitoring, and reporting phases of the experiment. The scope is limited to the laboratory facilities located in Brazil São Paulo and adheres to the guidelines set by the Brazilian Association of Technical Standards (ABNT).</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Catalyst</w:t>
            </w:r>
          </w:p>
        </w:tc>
        <w:tc>
          <w:tcPr/>
          <w:p>
            <w:pPr>
              <w:pStyle w:val="Compact"/>
              <w:jc w:val="left"/>
            </w:pPr>
            <w:r>
              <w:t xml:space="preserve">500g</w:t>
            </w:r>
          </w:p>
        </w:tc>
        <w:tc>
          <w:tcPr/>
          <w:p>
            <w:pPr>
              <w:pStyle w:val="Compact"/>
              <w:jc w:val="left"/>
            </w:pPr>
            <w:r>
              <w:t xml:space="preserve">High-purity nickel-based</w:t>
            </w:r>
          </w:p>
        </w:tc>
      </w:tr>
      <w:tr>
        <w:tc>
          <w:tcPr/>
          <w:p>
            <w:pPr>
              <w:pStyle w:val="Compact"/>
              <w:jc w:val="left"/>
            </w:pPr>
            <w:r>
              <w:t xml:space="preserve">Reactant (Ethanol)</w:t>
            </w:r>
          </w:p>
        </w:tc>
        <w:tc>
          <w:tcPr/>
          <w:p>
            <w:pPr>
              <w:pStyle w:val="Compact"/>
              <w:jc w:val="left"/>
            </w:pPr>
            <w:r>
              <w:t xml:space="preserve">10L</w:t>
            </w:r>
          </w:p>
        </w:tc>
        <w:tc>
          <w:tcPr/>
          <w:p>
            <w:pPr>
              <w:pStyle w:val="Compact"/>
              <w:jc w:val="left"/>
            </w:pPr>
            <w:r>
              <w:t xml:space="preserve">Anhydrous grade</w:t>
            </w:r>
          </w:p>
        </w:tc>
      </w:tr>
      <w:tr>
        <w:tc>
          <w:tcPr/>
          <w:p>
            <w:pPr>
              <w:pStyle w:val="Compact"/>
              <w:jc w:val="left"/>
            </w:pPr>
            <w:r>
              <w:t xml:space="preserve">Reactor</w:t>
            </w:r>
          </w:p>
        </w:tc>
        <w:tc>
          <w:tcPr/>
          <w:p>
            <w:pPr>
              <w:pStyle w:val="Compact"/>
              <w:jc w:val="left"/>
            </w:pPr>
            <w:r>
              <w:t xml:space="preserve">1</w:t>
            </w:r>
          </w:p>
        </w:tc>
        <w:tc>
          <w:tcPr/>
          <w:p>
            <w:pPr>
              <w:pStyle w:val="Compact"/>
              <w:jc w:val="left"/>
            </w:pPr>
            <w:r>
              <w:t xml:space="preserve">Stainless steel, 20L capacity</w:t>
            </w:r>
          </w:p>
        </w:tc>
      </w:tr>
      <w:tr>
        <w:tc>
          <w:tcPr/>
          <w:p>
            <w:pPr>
              <w:pStyle w:val="Compact"/>
              <w:jc w:val="left"/>
            </w:pPr>
            <w:r>
              <w:t xml:space="preserve">Temperature Controller</w:t>
            </w:r>
          </w:p>
        </w:tc>
        <w:tc>
          <w:tcPr/>
          <w:p>
            <w:pPr>
              <w:pStyle w:val="Compact"/>
              <w:jc w:val="left"/>
            </w:pPr>
            <w:r>
              <w:t xml:space="preserve">1</w:t>
            </w:r>
          </w:p>
        </w:tc>
        <w:tc>
          <w:tcPr/>
          <w:p>
            <w:pPr>
              <w:pStyle w:val="Compact"/>
              <w:jc w:val="left"/>
            </w:pPr>
            <w:r>
              <w:t xml:space="preserve">Range: 0-300°C</w:t>
            </w:r>
          </w:p>
        </w:tc>
      </w:tr>
      <w:tr>
        <w:tc>
          <w:tcPr/>
          <w:p>
            <w:pPr>
              <w:pStyle w:val="Compact"/>
              <w:jc w:val="left"/>
            </w:pPr>
            <w:r>
              <w:t xml:space="preserve">Pressure Gauge</w:t>
            </w:r>
          </w:p>
        </w:tc>
        <w:tc>
          <w:tcPr/>
          <w:p>
            <w:pPr>
              <w:pStyle w:val="Compact"/>
              <w:jc w:val="left"/>
            </w:pPr>
            <w:r>
              <w:t xml:space="preserve">1</w:t>
            </w:r>
          </w:p>
        </w:tc>
        <w:tc>
          <w:tcPr/>
          <w:p>
            <w:pPr>
              <w:pStyle w:val="Compact"/>
              <w:jc w:val="left"/>
            </w:pPr>
            <w:r>
              <w:t xml:space="preserve">Range: 0-10 bar</w:t>
            </w:r>
          </w:p>
        </w:tc>
      </w:tr>
    </w:tbl>
    <w:p>
      <w:pPr>
        <w:pStyle w:val="BodyText"/>
      </w:pPr>
      <w:r>
        <w:t xml:space="preserve">5. Procedure</w:t>
      </w:r>
    </w:p>
    <w:p>
      <w:pPr>
        <w:pStyle w:val="BodyText"/>
      </w:pPr>
      <w:r>
        <w:t xml:space="preserve">The following steps outline the procedure for the experiment:</w:t>
      </w:r>
    </w:p>
    <w:p>
      <w:pPr>
        <w:numPr>
          <w:ilvl w:val="0"/>
          <w:numId w:val="1002"/>
        </w:numPr>
        <w:pStyle w:val="Compact"/>
      </w:pPr>
      <w:r>
        <w:rPr>
          <w:bCs/>
          <w:b/>
        </w:rPr>
        <w:t xml:space="preserve">Preparation:</w:t>
      </w:r>
      <w:r>
        <w:t xml:space="preserve"> </w:t>
      </w:r>
      <w:r>
        <w:t xml:space="preserve">Ensure all equipment is calibrated and clean. Verify the purity of reactants and catalyst.</w:t>
      </w:r>
    </w:p>
    <w:p>
      <w:pPr>
        <w:numPr>
          <w:ilvl w:val="0"/>
          <w:numId w:val="1002"/>
        </w:numPr>
        <w:pStyle w:val="Compact"/>
      </w:pPr>
      <w:r>
        <w:rPr>
          <w:bCs/>
          <w:b/>
        </w:rPr>
        <w:t xml:space="preserve">Setup:</w:t>
      </w:r>
      <w:r>
        <w:t xml:space="preserve"> </w:t>
      </w:r>
      <w:r>
        <w:t xml:space="preserve">Assemble the reactor and connect it to the temperature controller and pressure gauge.</w:t>
      </w:r>
    </w:p>
    <w:p>
      <w:pPr>
        <w:numPr>
          <w:ilvl w:val="0"/>
          <w:numId w:val="1002"/>
        </w:numPr>
        <w:pStyle w:val="Compact"/>
      </w:pPr>
      <w:r>
        <w:rPr>
          <w:bCs/>
          <w:b/>
        </w:rPr>
        <w:t xml:space="preserve">Charging:</w:t>
      </w:r>
      <w:r>
        <w:t xml:space="preserve"> </w:t>
      </w:r>
      <w:r>
        <w:t xml:space="preserve">Add the catalyst and reactant to the reactor in the specified quantities.</w:t>
      </w:r>
    </w:p>
    <w:p>
      <w:pPr>
        <w:numPr>
          <w:ilvl w:val="0"/>
          <w:numId w:val="1002"/>
        </w:numPr>
        <w:pStyle w:val="Compact"/>
      </w:pPr>
      <w:r>
        <w:rPr>
          <w:bCs/>
          <w:b/>
        </w:rPr>
        <w:t xml:space="preserve">Reaction:</w:t>
      </w:r>
      <w:r>
        <w:t xml:space="preserve"> </w:t>
      </w:r>
      <w:r>
        <w:t xml:space="preserve">Initiate the reaction by setting the desired temperature and pressure. Monitor the process continuously.</w:t>
      </w:r>
    </w:p>
    <w:p>
      <w:pPr>
        <w:numPr>
          <w:ilvl w:val="0"/>
          <w:numId w:val="1002"/>
        </w:numPr>
        <w:pStyle w:val="Compact"/>
      </w:pPr>
      <w:r>
        <w:rPr>
          <w:bCs/>
          <w:b/>
        </w:rPr>
        <w:t xml:space="preserve">Sampling:</w:t>
      </w:r>
      <w:r>
        <w:t xml:space="preserve"> </w:t>
      </w:r>
      <w:r>
        <w:t xml:space="preserve">Collect samples at regular intervals for analysis.</w:t>
      </w:r>
    </w:p>
    <w:p>
      <w:pPr>
        <w:numPr>
          <w:ilvl w:val="0"/>
          <w:numId w:val="1002"/>
        </w:numPr>
        <w:pStyle w:val="Compact"/>
      </w:pPr>
      <w:r>
        <w:rPr>
          <w:bCs/>
          <w:b/>
        </w:rPr>
        <w:t xml:space="preserve">Termination:</w:t>
      </w:r>
      <w:r>
        <w:t xml:space="preserve"> </w:t>
      </w:r>
      <w:r>
        <w:t xml:space="preserve">Once the reaction is complete, cool the reactor and safely discharge the contents.</w:t>
      </w:r>
    </w:p>
    <w:p>
      <w:pPr>
        <w:numPr>
          <w:ilvl w:val="0"/>
          <w:numId w:val="1002"/>
        </w:numPr>
        <w:pStyle w:val="Compact"/>
      </w:pPr>
      <w:r>
        <w:rPr>
          <w:bCs/>
          <w:b/>
        </w:rPr>
        <w:t xml:space="preserve">Cleanup:</w:t>
      </w:r>
      <w:r>
        <w:t xml:space="preserve"> </w:t>
      </w:r>
      <w:r>
        <w:t xml:space="preserve">Clean all equipment and dispose of waste according to local regulations.</w:t>
      </w:r>
    </w:p>
    <w:p>
      <w:pPr>
        <w:pStyle w:val="FirstParagraph"/>
      </w:pPr>
      <w:r>
        <w:t xml:space="preserve">6. Safety Measures</w:t>
      </w:r>
    </w:p>
    <w:p>
      <w:pPr>
        <w:pStyle w:val="BodyText"/>
      </w:pPr>
      <w:r>
        <w:t xml:space="preserve">Safety is paramount in this experiment. The following measures must be strictly followed:</w:t>
      </w:r>
    </w:p>
    <w:p>
      <w:pPr>
        <w:numPr>
          <w:ilvl w:val="0"/>
          <w:numId w:val="1003"/>
        </w:numPr>
        <w:pStyle w:val="Compact"/>
      </w:pPr>
      <w:r>
        <w:t xml:space="preserve">Wear appropriate personal protective equipment (PPE), including gloves, goggles, and lab coats.</w:t>
      </w:r>
    </w:p>
    <w:p>
      <w:pPr>
        <w:numPr>
          <w:ilvl w:val="0"/>
          <w:numId w:val="1003"/>
        </w:numPr>
        <w:pStyle w:val="Compact"/>
      </w:pPr>
      <w:r>
        <w:t xml:space="preserve">Ensure proper ventilation in the laboratory to prevent the accumulation of hazardous gases.</w:t>
      </w:r>
    </w:p>
    <w:p>
      <w:pPr>
        <w:numPr>
          <w:ilvl w:val="0"/>
          <w:numId w:val="1003"/>
        </w:numPr>
        <w:pStyle w:val="Compact"/>
      </w:pPr>
      <w:r>
        <w:t xml:space="preserve">Keep a fire extinguisher and first aid kit readily available.</w:t>
      </w:r>
    </w:p>
    <w:p>
      <w:pPr>
        <w:numPr>
          <w:ilvl w:val="0"/>
          <w:numId w:val="1003"/>
        </w:numPr>
        <w:pStyle w:val="Compact"/>
      </w:pPr>
      <w:r>
        <w:t xml:space="preserve">Follow the Material Safety Data Sheets (MSDS) for all chemicals used.</w:t>
      </w:r>
    </w:p>
    <w:p>
      <w:pPr>
        <w:numPr>
          <w:ilvl w:val="0"/>
          <w:numId w:val="1003"/>
        </w:numPr>
        <w:pStyle w:val="Compact"/>
      </w:pPr>
      <w:r>
        <w:t xml:space="preserve">Report any incidents or near-misses immediately to the supervisor.</w:t>
      </w:r>
    </w:p>
    <w:p>
      <w:pPr>
        <w:pStyle w:val="FirstParagraph"/>
      </w:pPr>
      <w:r>
        <w:t xml:space="preserve">7. Data Collection and Analysis</w:t>
      </w:r>
    </w:p>
    <w:p>
      <w:pPr>
        <w:pStyle w:val="BodyText"/>
      </w:pPr>
      <w:r>
        <w:t xml:space="preserve">Data will be collected using the following methods:</w:t>
      </w:r>
    </w:p>
    <w:p>
      <w:pPr>
        <w:numPr>
          <w:ilvl w:val="0"/>
          <w:numId w:val="1004"/>
        </w:numPr>
        <w:pStyle w:val="Compact"/>
      </w:pPr>
      <w:r>
        <w:t xml:space="preserve">Temperature and pressure readings will be recorded every 5 minutes.</w:t>
      </w:r>
    </w:p>
    <w:p>
      <w:pPr>
        <w:numPr>
          <w:ilvl w:val="0"/>
          <w:numId w:val="1004"/>
        </w:numPr>
        <w:pStyle w:val="Compact"/>
      </w:pPr>
      <w:r>
        <w:t xml:space="preserve">Sample analysis will be conducted using gas chromatography to determine product composition.</w:t>
      </w:r>
    </w:p>
    <w:p>
      <w:pPr>
        <w:numPr>
          <w:ilvl w:val="0"/>
          <w:numId w:val="1004"/>
        </w:numPr>
        <w:pStyle w:val="Compact"/>
      </w:pPr>
      <w:r>
        <w:t xml:space="preserve">Yield calculations will be performed based on the mass of reactants and products.</w:t>
      </w:r>
    </w:p>
    <w:p>
      <w:pPr>
        <w:pStyle w:val="FirstParagraph"/>
      </w:pPr>
      <w:r>
        <w:t xml:space="preserve">The data will be analyzed to assess the efficiency of the catalytic process and identify any trends or anomalies.</w:t>
      </w:r>
    </w:p>
    <w:p>
      <w:pPr>
        <w:pStyle w:val="BodyText"/>
      </w:pPr>
      <w:r>
        <w:t xml:space="preserve">8. Reporting</w:t>
      </w:r>
    </w:p>
    <w:p>
      <w:pPr>
        <w:pStyle w:val="BodyText"/>
      </w:pPr>
      <w:r>
        <w:t xml:space="preserve">A detailed report will be prepared upon completion of the experiment. The report will include:</w:t>
      </w:r>
    </w:p>
    <w:p>
      <w:pPr>
        <w:numPr>
          <w:ilvl w:val="0"/>
          <w:numId w:val="1005"/>
        </w:numPr>
        <w:pStyle w:val="Compact"/>
      </w:pPr>
      <w:r>
        <w:t xml:space="preserve">Summary of objectives and methodology.</w:t>
      </w:r>
    </w:p>
    <w:p>
      <w:pPr>
        <w:numPr>
          <w:ilvl w:val="0"/>
          <w:numId w:val="1005"/>
        </w:numPr>
        <w:pStyle w:val="Compact"/>
      </w:pPr>
      <w:r>
        <w:t xml:space="preserve">Results of the experiment, including data tables and graphs.</w:t>
      </w:r>
    </w:p>
    <w:p>
      <w:pPr>
        <w:numPr>
          <w:ilvl w:val="0"/>
          <w:numId w:val="1005"/>
        </w:numPr>
        <w:pStyle w:val="Compact"/>
      </w:pPr>
      <w:r>
        <w:t xml:space="preserve">Discussion of findings and their implications.</w:t>
      </w:r>
    </w:p>
    <w:p>
      <w:pPr>
        <w:numPr>
          <w:ilvl w:val="0"/>
          <w:numId w:val="1005"/>
        </w:numPr>
        <w:pStyle w:val="Compact"/>
      </w:pPr>
      <w:r>
        <w:t xml:space="preserve">Recommendations for future work.</w:t>
      </w:r>
    </w:p>
    <w:p>
      <w:pPr>
        <w:pStyle w:val="FirstParagraph"/>
      </w:pPr>
      <w:r>
        <w:t xml:space="preserve">The report will be submitted to the supervising Chemical Engineer and relevant stakeholders in Brazil São Paulo.</w:t>
      </w:r>
    </w:p>
    <w:p>
      <w:pPr>
        <w:pStyle w:val="BodyText"/>
      </w:pPr>
      <w:r>
        <w:t xml:space="preserve">9. Compliance</w:t>
      </w:r>
    </w:p>
    <w:p>
      <w:pPr>
        <w:pStyle w:val="BodyText"/>
      </w:pPr>
      <w:r>
        <w:t xml:space="preserve">This experiment protocol adheres to the following regulations and standards:</w:t>
      </w:r>
    </w:p>
    <w:p>
      <w:pPr>
        <w:numPr>
          <w:ilvl w:val="0"/>
          <w:numId w:val="1006"/>
        </w:numPr>
        <w:pStyle w:val="Compact"/>
      </w:pPr>
      <w:r>
        <w:t xml:space="preserve">Brazilian Association of Technical Standards (ABNT) guidelines.</w:t>
      </w:r>
    </w:p>
    <w:p>
      <w:pPr>
        <w:numPr>
          <w:ilvl w:val="0"/>
          <w:numId w:val="1006"/>
        </w:numPr>
        <w:pStyle w:val="Compact"/>
      </w:pPr>
      <w:r>
        <w:t xml:space="preserve">Environmental Protection Agency (EPA) regulations for chemical waste disposal.</w:t>
      </w:r>
    </w:p>
    <w:p>
      <w:pPr>
        <w:numPr>
          <w:ilvl w:val="0"/>
          <w:numId w:val="1006"/>
        </w:numPr>
        <w:pStyle w:val="Compact"/>
      </w:pPr>
      <w:r>
        <w:t xml:space="preserve">Occupational Safety and Health Administration (OSHA) standards for laboratory safety.</w:t>
      </w:r>
    </w:p>
    <w:p>
      <w:pPr>
        <w:pStyle w:val="FirstParagraph"/>
      </w:pPr>
      <w:r>
        <w:t xml:space="preserve">10. Conclusion</w:t>
      </w:r>
    </w:p>
    <w:p>
      <w:pPr>
        <w:pStyle w:val="BodyText"/>
      </w:pPr>
      <w:r>
        <w:t xml:space="preserve">This Experiment Protocol provides a comprehensive framework for conducting chemical experiments in Brazil São Paulo. By following these guidelines, Chemical Engineers can ensure the safety, accuracy, and reproducibility of their work while complying with local regulations.</w:t>
      </w:r>
    </w:p>
    <w:p>
      <w:pPr>
        <w:pStyle w:val="BodyText"/>
      </w:pPr>
      <w:r>
        <w:rPr>
          <w:bCs/>
          <w:b/>
        </w:rPr>
        <w:t xml:space="preserve">Note:</w:t>
      </w:r>
      <w:r>
        <w:t xml:space="preserve"> </w:t>
      </w:r>
      <w:r>
        <w:t xml:space="preserve">This protocol should be reviewed and updated regularly to reflect any changes in regulations, technology, or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Brazil São Paulo</dc:title>
  <dc:creator/>
  <dc:language>en</dc:language>
  <cp:keywords/>
  <dcterms:created xsi:type="dcterms:W3CDTF">2026-10-10T10:21:03Z</dcterms:created>
  <dcterms:modified xsi:type="dcterms:W3CDTF">2026-10-10T10:21:03Z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