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Catalytic</w:t>
      </w:r>
      <w:r>
        <w:t xml:space="preserve"> </w:t>
      </w:r>
      <w:r>
        <w:t xml:space="preserve">Hydroprocessing</w:t>
      </w:r>
      <w:r>
        <w:t xml:space="preserve"> </w:t>
      </w:r>
      <w:r>
        <w:t xml:space="preserve">of</w:t>
      </w:r>
      <w:r>
        <w:t xml:space="preserve"> </w:t>
      </w:r>
      <w:r>
        <w:t xml:space="preserve">Heavy</w:t>
      </w:r>
      <w:r>
        <w:t xml:space="preserve"> </w:t>
      </w:r>
      <w:r>
        <w:t xml:space="preserve">Oil</w:t>
      </w:r>
      <w:r>
        <w:t xml:space="preserve"> </w:t>
      </w:r>
      <w:r>
        <w:t xml:space="preserve">Fractions</w:t>
      </w:r>
    </w:p>
    <w:bookmarkStart w:id="32" w:name="X73e582ce7570c8c3322a8b55fe4a3845840b435"/>
    <w:p>
      <w:pPr>
        <w:pStyle w:val="Heading1"/>
      </w:pPr>
      <w:r>
        <w:t xml:space="preserve">Experiment Protocol: Catalytic Hydroprocessing of Heavy Oil Fractions</w:t>
      </w:r>
    </w:p>
    <w:p>
      <w:pPr>
        <w:pStyle w:val="FirstParagraph"/>
      </w:pPr>
      <w:r>
        <w:rPr>
          <w:bCs/>
          <w:b/>
        </w:rPr>
        <w:t xml:space="preserve">Document ID:</w:t>
      </w:r>
      <w:r>
        <w:t xml:space="preserve"> </w:t>
      </w:r>
      <w:r>
        <w:t xml:space="preserve">CHE-TOR-2023-045</w:t>
      </w:r>
      <w:r>
        <w:br/>
      </w:r>
      <w:r>
        <w:rPr>
          <w:bCs/>
          <w:b/>
        </w:rPr>
        <w:t xml:space="preserve">Version:</w:t>
      </w:r>
      <w:r>
        <w:t xml:space="preserve"> </w:t>
      </w:r>
      <w:r>
        <w:t xml:space="preserve">1.2</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Advanced Process Engineering Lab, Toronto, Ontario, Canada</w:t>
      </w:r>
      <w:r>
        <w:br/>
      </w:r>
      <w:r>
        <w:rPr>
          <w:bCs/>
          <w:b/>
        </w:rPr>
        <w:t xml:space="preserve">Discipline:</w:t>
      </w:r>
      <w:r>
        <w:t xml:space="preserve"> </w:t>
      </w:r>
      <w:r>
        <w:t xml:space="preserve">Chemical Engineering</w:t>
      </w:r>
      <w:r>
        <w:br/>
      </w:r>
      <w:r>
        <w:rPr>
          <w:bCs/>
          <w:b/>
        </w:rPr>
        <w:t xml:space="preserve">Classification:</w:t>
      </w:r>
      <w:r>
        <w:t xml:space="preserve"> </w:t>
      </w:r>
      <w:r>
        <w:t xml:space="preserve">Internal Use Only</w:t>
      </w:r>
    </w:p>
    <w:bookmarkStart w:id="20" w:name="objective-and-scope"/>
    <w:p>
      <w:pPr>
        <w:pStyle w:val="Heading2"/>
      </w:pPr>
      <w:r>
        <w:t xml:space="preserve">1. Objective and Scope</w:t>
      </w:r>
    </w:p>
    <w:p>
      <w:pPr>
        <w:pStyle w:val="FirstParagraph"/>
      </w:pPr>
      <w:r>
        <w:t xml:space="preserve">This Experiment Protocol outlines the standardized procedures for conducting catalytic hydroprocessing experiments on heavy oil fractions derived from Western Canadian Select (WCS) crude. The primary objective is to evaluate the performance of novel sulfided cobalt-molybdenum catalysts in reducing sulfur content and metal impurities under high-pressure conditions. This protocol is designed for use by qualified Chemical Engineers and research technicians operating within the regulatory framework of Canada, specifically adhering to the safety and environmental standards enforced in Toronto, Ontario.</w:t>
      </w:r>
    </w:p>
    <w:p>
      <w:pPr>
        <w:pStyle w:val="BodyText"/>
      </w:pPr>
      <w:r>
        <w:t xml:space="preserve">The scope includes catalyst preparation, reactor setup, execution of the hydroprocessing reaction, product separation, and analytical characterization. All procedures must align with the principles of sustainable engineering and the specific jurisdictional requirements of the Technical Standards and Safety Authority (TSSA) of Ontario.</w:t>
      </w:r>
    </w:p>
    <w:bookmarkEnd w:id="20"/>
    <w:bookmarkStart w:id="21" w:name="Xc1bf6019d7c7f546cd756b019a9b2d8bdab0c79"/>
    <w:p>
      <w:pPr>
        <w:pStyle w:val="Heading2"/>
      </w:pPr>
      <w:r>
        <w:t xml:space="preserve">2. Regulatory Compliance and Safety Standards</w:t>
      </w:r>
    </w:p>
    <w:p>
      <w:pPr>
        <w:pStyle w:val="FirstParagraph"/>
      </w:pPr>
      <w:r>
        <w:t xml:space="preserve">As this experiment involves high-pressure hydrogen and hazardous hydrocarbons, strict adherence to Canadian and local regulations is mandatory.</w:t>
      </w:r>
    </w:p>
    <w:p>
      <w:pPr>
        <w:numPr>
          <w:ilvl w:val="0"/>
          <w:numId w:val="1001"/>
        </w:numPr>
        <w:pStyle w:val="Compact"/>
      </w:pPr>
      <w:r>
        <w:rPr>
          <w:bCs/>
          <w:b/>
        </w:rPr>
        <w:t xml:space="preserve">Workplace Safety:</w:t>
      </w:r>
      <w:r>
        <w:t xml:space="preserve"> </w:t>
      </w:r>
      <w:r>
        <w:t xml:space="preserve">Compliance with the Occupational Health and Safety Act (OHSA) of Ontario is required. All personnel must undergo site-specific safety training.</w:t>
      </w:r>
    </w:p>
    <w:p>
      <w:pPr>
        <w:numPr>
          <w:ilvl w:val="0"/>
          <w:numId w:val="1001"/>
        </w:numPr>
        <w:pStyle w:val="Compact"/>
      </w:pPr>
      <w:r>
        <w:rPr>
          <w:bCs/>
          <w:b/>
        </w:rPr>
        <w:t xml:space="preserve">Pressure Equipment:</w:t>
      </w:r>
      <w:r>
        <w:t xml:space="preserve"> </w:t>
      </w:r>
      <w:r>
        <w:t xml:space="preserve">All reactors and piping must comply with the Ontario Regulation (O. Reg. 213/91) under the Technical Standards and Safety Act, 2000.</w:t>
      </w:r>
    </w:p>
    <w:p>
      <w:pPr>
        <w:numPr>
          <w:ilvl w:val="0"/>
          <w:numId w:val="1001"/>
        </w:numPr>
        <w:pStyle w:val="Compact"/>
      </w:pPr>
      <w:r>
        <w:rPr>
          <w:bCs/>
          <w:b/>
        </w:rPr>
        <w:t xml:space="preserve">Chemical Handling:</w:t>
      </w:r>
      <w:r>
        <w:t xml:space="preserve"> </w:t>
      </w:r>
      <w:r>
        <w:t xml:space="preserve">Procedures must follow the Workplace Hazardous Materials Information System (WHMIS) 2015 standards.</w:t>
      </w:r>
    </w:p>
    <w:p>
      <w:pPr>
        <w:numPr>
          <w:ilvl w:val="0"/>
          <w:numId w:val="1001"/>
        </w:numPr>
        <w:pStyle w:val="Compact"/>
      </w:pPr>
      <w:r>
        <w:rPr>
          <w:bCs/>
          <w:b/>
        </w:rPr>
        <w:t xml:space="preserve">Environmental:</w:t>
      </w:r>
      <w:r>
        <w:t xml:space="preserve"> </w:t>
      </w:r>
      <w:r>
        <w:t xml:space="preserve">Waste disposal must adhere to the Ontario Environmental Protection Act and local Toronto municipal bylaws regarding hazardous waste.</w:t>
      </w:r>
    </w:p>
    <w:p>
      <w:pPr>
        <w:pStyle w:val="FirstParagraph"/>
      </w:pPr>
      <w:r>
        <w:rPr>
          <w:bCs/>
          <w:b/>
        </w:rPr>
        <w:t xml:space="preserve">WARNING:</w:t>
      </w:r>
      <w:r>
        <w:t xml:space="preserve"> </w:t>
      </w:r>
      <w:r>
        <w:t xml:space="preserve">Hydrogen gas is highly flammable and can form explosive mixtures with air. Ensure all leak detection systems are operational before pressurization. This experiment must only be conducted in a certified fume hood or dedicated high-pressure laboratory facility in Toronto.</w:t>
      </w:r>
    </w:p>
    <w:bookmarkEnd w:id="21"/>
    <w:bookmarkStart w:id="22" w:name="materials-and-equipment"/>
    <w:p>
      <w:pPr>
        <w:pStyle w:val="Heading2"/>
      </w:pPr>
      <w:r>
        <w:t xml:space="preserve">3. Materials and Equipment</w:t>
      </w:r>
    </w:p>
    <w:p>
      <w:pPr>
        <w:pStyle w:val="FirstParagraph"/>
      </w:pPr>
      <w:r>
        <w:t xml:space="preserve">The following materials and equipment are required for the experiment. All glassware and metal components must be inspected for integrity prior to use.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Fixed-Bed Reactor</w:t>
            </w:r>
          </w:p>
        </w:tc>
        <w:tc>
          <w:tcPr/>
          <w:p>
            <w:pPr>
              <w:pStyle w:val="Compact"/>
              <w:jc w:val="left"/>
            </w:pPr>
            <w:r>
              <w:t xml:space="preserve">Stainless Steel 316L, Max Pressure 100 bar, Max Temp 400°C</w:t>
            </w:r>
          </w:p>
        </w:tc>
        <w:tc>
          <w:tcPr/>
          <w:p>
            <w:pPr>
              <w:pStyle w:val="Compact"/>
              <w:jc w:val="left"/>
            </w:pPr>
            <w:r>
              <w:t xml:space="preserve">1</w:t>
            </w:r>
          </w:p>
        </w:tc>
      </w:tr>
      <w:tr>
        <w:tc>
          <w:tcPr/>
          <w:p>
            <w:pPr>
              <w:pStyle w:val="Compact"/>
              <w:jc w:val="left"/>
            </w:pPr>
            <w:r>
              <w:t xml:space="preserve">Catalyst</w:t>
            </w:r>
          </w:p>
        </w:tc>
        <w:tc>
          <w:tcPr/>
          <w:p>
            <w:pPr>
              <w:pStyle w:val="Compact"/>
              <w:jc w:val="left"/>
            </w:pPr>
            <w:r>
              <w:t xml:space="preserve">CoMo/Al2O3, Sulfided, 3-5 mm pellets</w:t>
            </w:r>
          </w:p>
        </w:tc>
        <w:tc>
          <w:tcPr/>
          <w:p>
            <w:pPr>
              <w:pStyle w:val="Compact"/>
              <w:jc w:val="left"/>
            </w:pPr>
            <w:r>
              <w:t xml:space="preserve">50 g</w:t>
            </w:r>
          </w:p>
        </w:tc>
      </w:tr>
      <w:tr>
        <w:tc>
          <w:tcPr/>
          <w:p>
            <w:pPr>
              <w:pStyle w:val="Compact"/>
              <w:jc w:val="left"/>
            </w:pPr>
            <w:r>
              <w:t xml:space="preserve">Feedstock</w:t>
            </w:r>
          </w:p>
        </w:tc>
        <w:tc>
          <w:tcPr/>
          <w:p>
            <w:pPr>
              <w:pStyle w:val="Compact"/>
              <w:jc w:val="left"/>
            </w:pPr>
            <w:r>
              <w:t xml:space="preserve">Heavy Oil Fraction (WCS derived), Sulfur content &gt; 2.0 wt%</w:t>
            </w:r>
          </w:p>
        </w:tc>
        <w:tc>
          <w:tcPr/>
          <w:p>
            <w:pPr>
              <w:pStyle w:val="Compact"/>
              <w:jc w:val="left"/>
            </w:pPr>
            <w:r>
              <w:t xml:space="preserve">500 mL</w:t>
            </w:r>
          </w:p>
        </w:tc>
      </w:tr>
      <w:tr>
        <w:tc>
          <w:tcPr/>
          <w:p>
            <w:pPr>
              <w:pStyle w:val="Compact"/>
              <w:jc w:val="left"/>
            </w:pPr>
            <w:r>
              <w:t xml:space="preserve">Hydrogen Gas</w:t>
            </w:r>
          </w:p>
        </w:tc>
        <w:tc>
          <w:tcPr/>
          <w:p>
            <w:pPr>
              <w:pStyle w:val="Compact"/>
              <w:jc w:val="left"/>
            </w:pPr>
            <w:r>
              <w:t xml:space="preserve">Purity &gt; 99.99%, High-pressure cylinder</w:t>
            </w:r>
          </w:p>
        </w:tc>
        <w:tc>
          <w:tcPr/>
          <w:p>
            <w:pPr>
              <w:pStyle w:val="Compact"/>
              <w:jc w:val="left"/>
            </w:pPr>
            <w:r>
              <w:t xml:space="preserve">1</w:t>
            </w:r>
          </w:p>
        </w:tc>
      </w:tr>
      <w:tr>
        <w:tc>
          <w:tcPr/>
          <w:p>
            <w:pPr>
              <w:pStyle w:val="Compact"/>
              <w:jc w:val="left"/>
            </w:pPr>
            <w:r>
              <w:t xml:space="preserve">Gas Chromatograph (GC)</w:t>
            </w:r>
          </w:p>
        </w:tc>
        <w:tc>
          <w:tcPr/>
          <w:p>
            <w:pPr>
              <w:pStyle w:val="Compact"/>
              <w:jc w:val="left"/>
            </w:pPr>
            <w:r>
              <w:t xml:space="preserve">Equipped with TCD and FID detectors</w:t>
            </w:r>
          </w:p>
        </w:tc>
        <w:tc>
          <w:tcPr/>
          <w:p>
            <w:pPr>
              <w:pStyle w:val="Compact"/>
              <w:jc w:val="left"/>
            </w:pPr>
            <w:r>
              <w:t xml:space="preserve">1</w:t>
            </w:r>
          </w:p>
        </w:tc>
      </w:tr>
      <w:tr>
        <w:tc>
          <w:tcPr/>
          <w:p>
            <w:pPr>
              <w:pStyle w:val="Compact"/>
              <w:jc w:val="left"/>
            </w:pPr>
            <w:r>
              <w:t xml:space="preserve">Personal Protective Equipment (PPE)</w:t>
            </w:r>
          </w:p>
        </w:tc>
        <w:tc>
          <w:tcPr/>
          <w:p>
            <w:pPr>
              <w:pStyle w:val="Compact"/>
              <w:jc w:val="left"/>
            </w:pPr>
            <w:r>
              <w:t xml:space="preserve">Face shield, chemical-resistant gloves, safety glasses, lab coat</w:t>
            </w:r>
          </w:p>
        </w:tc>
        <w:tc>
          <w:tcPr/>
          <w:p>
            <w:pPr>
              <w:pStyle w:val="Compact"/>
              <w:jc w:val="left"/>
            </w:pPr>
            <w:r>
              <w:t xml:space="preserve">Per person</w:t>
            </w:r>
          </w:p>
        </w:tc>
      </w:tr>
    </w:tbl>
    <w:bookmarkEnd w:id="22"/>
    <w:bookmarkStart w:id="28" w:name="experimental-procedure"/>
    <w:p>
      <w:pPr>
        <w:pStyle w:val="Heading2"/>
      </w:pPr>
      <w:r>
        <w:t xml:space="preserve">4. Experimental Procedure</w:t>
      </w:r>
    </w:p>
    <w:bookmarkStart w:id="23" w:name="catalyst-loading-and-reactor-assembly"/>
    <w:p>
      <w:pPr>
        <w:pStyle w:val="Heading3"/>
      </w:pPr>
      <w:r>
        <w:t xml:space="preserve">4.1. Catalyst Loading and Reactor Assembly</w:t>
      </w:r>
    </w:p>
    <w:p>
      <w:pPr>
        <w:pStyle w:val="FirstParagraph"/>
      </w:pPr>
      <w:r>
        <w:t xml:space="preserve">The Chemical Engineer responsible for the experiment must first verify that the reactor is depressurized and cooled to ambient temperature. Inert the reactor with nitrogen gas to remove any oxygen. Load the sulfided catalyst into the reactor bed using a clean, dry funnel. Ensure the catalyst bed is evenly distributed to prevent channeling. Seal the reactor head and tighten all bolts to the specified torque values as per the manufacturer's guidelines.</w:t>
      </w:r>
    </w:p>
    <w:bookmarkEnd w:id="23"/>
    <w:bookmarkStart w:id="24" w:name="leak-testing"/>
    <w:p>
      <w:pPr>
        <w:pStyle w:val="Heading3"/>
      </w:pPr>
      <w:r>
        <w:t xml:space="preserve">4.2. Leak Testing</w:t>
      </w:r>
    </w:p>
    <w:p>
      <w:pPr>
        <w:pStyle w:val="FirstParagraph"/>
      </w:pPr>
      <w:r>
        <w:t xml:space="preserve">Pressurize the system with nitrogen to 10 bar. Apply a soap solution to all flanges and connections to check for leaks. If any leaks are detected, depressurize the system, tighten the connections, and repeat the test. This step is critical for safety compliance in Toronto's industrial safety environment.</w:t>
      </w:r>
    </w:p>
    <w:bookmarkEnd w:id="24"/>
    <w:bookmarkStart w:id="25" w:name="heating-and-pressurization"/>
    <w:p>
      <w:pPr>
        <w:pStyle w:val="Heading3"/>
      </w:pPr>
      <w:r>
        <w:t xml:space="preserve">4.3. Heating and Pressurization</w:t>
      </w:r>
    </w:p>
    <w:p>
      <w:pPr>
        <w:pStyle w:val="FirstParagraph"/>
      </w:pPr>
      <w:r>
        <w:t xml:space="preserve">Begin heating the reactor at a rate of 2°C per minute to the target temperature of 350°C. Simultaneously, introduce hydrogen gas to reach the target pressure of 50 bar. Monitor the temperature and pressure continuously using the control panel. Ensure that the hydrogen flow rate is maintained at 500 mL/min.</w:t>
      </w:r>
    </w:p>
    <w:bookmarkEnd w:id="25"/>
    <w:bookmarkStart w:id="26" w:name="feed-introduction-and-reaction"/>
    <w:p>
      <w:pPr>
        <w:pStyle w:val="Heading3"/>
      </w:pPr>
      <w:r>
        <w:t xml:space="preserve">4.4. Feed Introduction and Reaction</w:t>
      </w:r>
    </w:p>
    <w:p>
      <w:pPr>
        <w:pStyle w:val="FirstParagraph"/>
      </w:pPr>
      <w:r>
        <w:t xml:space="preserve">Once the target temperature and pressure are stabilized, introduce the heavy oil feedstock using a high-pressure pump at a rate of 1 mL/min. Allow the reaction to proceed for 4 hours. Collect the liquid and gaseous products in separate collection vessels. Monitor the reactor outlet temperature to detect any exothermic spikes.</w:t>
      </w:r>
    </w:p>
    <w:bookmarkEnd w:id="26"/>
    <w:bookmarkStart w:id="27" w:name="shutdown-and-depressurization"/>
    <w:p>
      <w:pPr>
        <w:pStyle w:val="Heading3"/>
      </w:pPr>
      <w:r>
        <w:t xml:space="preserve">4.5. Shutdown and Depressurization</w:t>
      </w:r>
    </w:p>
    <w:p>
      <w:pPr>
        <w:pStyle w:val="FirstParagraph"/>
      </w:pPr>
      <w:r>
        <w:t xml:space="preserve">After the reaction period, stop the feed introduction and flush the reactor with hydrogen for 30 minutes. Cool the reactor to below 100°C before slowly depressurizing the system. Vent the hydrogen gas to a safe flare stack or scrubber system in accordance with local environmental regulations.</w:t>
      </w:r>
    </w:p>
    <w:bookmarkEnd w:id="27"/>
    <w:bookmarkEnd w:id="28"/>
    <w:bookmarkStart w:id="29" w:name="data-analysis-and-reporting"/>
    <w:p>
      <w:pPr>
        <w:pStyle w:val="Heading2"/>
      </w:pPr>
      <w:r>
        <w:t xml:space="preserve">5. Data Analysis and Reporting</w:t>
      </w:r>
    </w:p>
    <w:p>
      <w:pPr>
        <w:pStyle w:val="FirstParagraph"/>
      </w:pPr>
      <w:r>
        <w:t xml:space="preserve">Analyze the collected liquid products using Gas Chromatography (GC) to determine the sulfur content and hydrocarbon distribution. Calculate the conversion rate and selectivity of the catalyst. All data must be recorded in the laboratory notebook and entered into the central database. The Chemical Engineer must prepare a detailed report summarizing the experimental results, including any deviations from the protocol.</w:t>
      </w:r>
    </w:p>
    <w:bookmarkEnd w:id="29"/>
    <w:bookmarkStart w:id="30" w:name="waste-disposal"/>
    <w:p>
      <w:pPr>
        <w:pStyle w:val="Heading2"/>
      </w:pPr>
      <w:r>
        <w:t xml:space="preserve">6. Waste Disposal</w:t>
      </w:r>
    </w:p>
    <w:p>
      <w:pPr>
        <w:pStyle w:val="FirstParagraph"/>
      </w:pPr>
      <w:r>
        <w:t xml:space="preserve">All spent catalyst and liquid waste must be segregated and labeled according to WHMIS standards. Contact the designated hazardous waste disposal service in Toronto for pickup. Do not dispose of any chemical waste down the drain or in regular trash bins.</w:t>
      </w:r>
    </w:p>
    <w:bookmarkEnd w:id="30"/>
    <w:bookmarkStart w:id="31" w:name="signatures"/>
    <w:p>
      <w:pPr>
        <w:pStyle w:val="Heading2"/>
      </w:pPr>
      <w:r>
        <w:t xml:space="preserve">7. Signatures</w:t>
      </w:r>
    </w:p>
    <w:p>
      <w:pPr>
        <w:pStyle w:val="FirstParagraph"/>
      </w:pPr>
      <w:r>
        <w:t xml:space="preserve">By signing below, the undersigned confirm that they have read, understood, and will adhere to this Experiment Protocol.</w:t>
      </w:r>
    </w:p>
    <w:p>
      <w:pPr>
        <w:pStyle w:val="BodyText"/>
      </w:pPr>
      <w:r>
        <w:rPr>
          <w:bCs/>
          <w:b/>
        </w:rPr>
        <w:t xml:space="preserve">Lead Chemical Engineer:</w:t>
      </w:r>
      <w:r>
        <w:br/>
      </w:r>
      <w:r>
        <w:t xml:space="preserve">Name: __________________________</w:t>
      </w:r>
      <w:r>
        <w:br/>
      </w:r>
      <w:r>
        <w:t xml:space="preserve">Signature: ______________________</w:t>
      </w:r>
      <w:r>
        <w:br/>
      </w:r>
      <w:r>
        <w:t xml:space="preserve">Date: __________________________</w:t>
      </w:r>
    </w:p>
    <w:p>
      <w:pPr>
        <w:pStyle w:val="BodyText"/>
      </w:pPr>
      <w:r>
        <w:rPr>
          <w:bCs/>
          <w:b/>
        </w:rPr>
        <w:t xml:space="preserve">Safety Officer:</w:t>
      </w:r>
      <w:r>
        <w:br/>
      </w:r>
      <w:r>
        <w:t xml:space="preserve">Name: __________________________</w:t>
      </w:r>
      <w:r>
        <w:br/>
      </w:r>
      <w:r>
        <w:t xml:space="preserve">Signature: ______________________</w:t>
      </w:r>
      <w:r>
        <w:br/>
      </w:r>
      <w:r>
        <w:t xml:space="preserve">Date: __________________________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Catalytic Hydroprocessing of Heavy Oil Fractions</dc:title>
  <dc:creator/>
  <dc:language>en</dc:language>
  <cp:keywords/>
  <dcterms:created xsi:type="dcterms:W3CDTF">2026-10-10T02:16:07Z</dcterms:created>
  <dcterms:modified xsi:type="dcterms:W3CDTF">2026-10-10T02:16:07Z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