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33" w:name="X71c9a89696b840ad46cef53a8ef05417fb9ff5f"/>
    <w:p>
      <w:pPr>
        <w:pStyle w:val="Heading1"/>
      </w:pPr>
      <w:r>
        <w:t xml:space="preserve">Experiment Protocol: Chemical Engineer - Canada Vancouver</w:t>
      </w:r>
    </w:p>
    <w:p>
      <w:pPr>
        <w:pStyle w:val="FirstParagraph"/>
      </w:pPr>
      <w:r>
        <w:rPr>
          <w:bCs/>
          <w:b/>
        </w:rPr>
        <w:t xml:space="preserve">Document Title:</w:t>
      </w:r>
      <w:r>
        <w:t xml:space="preserve"> </w:t>
      </w:r>
      <w:r>
        <w:t xml:space="preserve">Standard Operating Procedure for Pilot-Scale Reactor Optimization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scope"/>
    <w:p>
      <w:pPr>
        <w:pStyle w:val="Heading2"/>
      </w:pPr>
      <w:r>
        <w:t xml:space="preserve">1. Introduction and Scope</w:t>
      </w:r>
    </w:p>
    <w:p>
      <w:pPr>
        <w:pStyle w:val="FirstParagraph"/>
      </w:pPr>
      <w:r>
        <w:t xml:space="preserve">This Experiment Protocol outlines the standardized procedures for conducting pilot-scale chemical reactions within the research facilities located in Canada Vancouver. As a Chemical Engineer operating in this region, adherence to this protocol is mandatory to ensure safety, regulatory compliance, and data integrity. The primary objective of this experiment is to optimize reaction kinetics for a novel catalytic process while minimizing environmental impact, aligning with the sustainability goals prevalent in the Vancouver industrial sector.</w:t>
      </w:r>
    </w:p>
    <w:p>
      <w:pPr>
        <w:pStyle w:val="BodyText"/>
      </w:pPr>
      <w:r>
        <w:t xml:space="preserve">This document serves as a comprehensive guide for all personnel involved in the experimental phase, ensuring that every step is executed with precision and in accordance with local and national standards.</w:t>
      </w:r>
    </w:p>
    <w:bookmarkEnd w:id="20"/>
    <w:bookmarkStart w:id="21" w:name="Xc1bf6019d7c7f546cd756b019a9b2d8bdab0c79"/>
    <w:p>
      <w:pPr>
        <w:pStyle w:val="Heading2"/>
      </w:pPr>
      <w:r>
        <w:t xml:space="preserve">2. Regulatory Compliance and Safety Standards</w:t>
      </w:r>
    </w:p>
    <w:p>
      <w:pPr>
        <w:pStyle w:val="FirstParagraph"/>
      </w:pPr>
      <w:r>
        <w:t xml:space="preserve">Operating as a Chemical Engineer in Canada Vancouver requires strict adherence to multiple regulatory frameworks. This experiment must comply with the following:</w:t>
      </w:r>
    </w:p>
    <w:p>
      <w:pPr>
        <w:numPr>
          <w:ilvl w:val="0"/>
          <w:numId w:val="1001"/>
        </w:numPr>
        <w:pStyle w:val="Compact"/>
      </w:pPr>
      <w:r>
        <w:rPr>
          <w:bCs/>
          <w:b/>
        </w:rPr>
        <w:t xml:space="preserve">WorkSafeBC Regulations:</w:t>
      </w:r>
      <w:r>
        <w:t xml:space="preserve"> </w:t>
      </w:r>
      <w:r>
        <w:t xml:space="preserve">All safety protocols must align with the Occupational Health and Safety Regulation (OHSR) enforced by WorkSafeBC.</w:t>
      </w:r>
    </w:p>
    <w:p>
      <w:pPr>
        <w:numPr>
          <w:ilvl w:val="0"/>
          <w:numId w:val="1001"/>
        </w:numPr>
        <w:pStyle w:val="Compact"/>
      </w:pPr>
      <w:r>
        <w:rPr>
          <w:bCs/>
          <w:b/>
        </w:rPr>
        <w:t xml:space="preserve">Canadian Environmental Protection Act (CEPA):</w:t>
      </w:r>
      <w:r>
        <w:t xml:space="preserve"> </w:t>
      </w:r>
      <w:r>
        <w:t xml:space="preserve">Waste disposal and emissions must meet federal environmental standards.</w:t>
      </w:r>
    </w:p>
    <w:p>
      <w:pPr>
        <w:numPr>
          <w:ilvl w:val="0"/>
          <w:numId w:val="1001"/>
        </w:numPr>
        <w:pStyle w:val="Compact"/>
      </w:pPr>
      <w:r>
        <w:rPr>
          <w:bCs/>
          <w:b/>
        </w:rPr>
        <w:t xml:space="preserve">Local Vancouver Bylaws:</w:t>
      </w:r>
      <w:r>
        <w:t xml:space="preserve"> </w:t>
      </w:r>
      <w:r>
        <w:t xml:space="preserve">Specific municipal regulations regarding chemical storage and transport within the city limits must be observed.</w:t>
      </w:r>
    </w:p>
    <w:p>
      <w:pPr>
        <w:numPr>
          <w:ilvl w:val="0"/>
          <w:numId w:val="1001"/>
        </w:numPr>
        <w:pStyle w:val="Compact"/>
      </w:pPr>
      <w:r>
        <w:rPr>
          <w:bCs/>
          <w:b/>
        </w:rPr>
        <w:t xml:space="preserve">Hazards Identification:</w:t>
      </w:r>
      <w:r>
        <w:t xml:space="preserve"> </w:t>
      </w:r>
      <w:r>
        <w:t xml:space="preserve">All chemicals used must have up-to-date Safety Data Sheets (SDS) available on-site, compliant with the Workplace Hazardous Materials Information System (WHMIS).</w:t>
      </w:r>
    </w:p>
    <w:p>
      <w:pPr>
        <w:pStyle w:val="FirstParagraph"/>
      </w:pPr>
      <w:r>
        <w:rPr>
          <w:bCs/>
          <w:b/>
        </w:rPr>
        <w:t xml:space="preserve">WARNING:</w:t>
      </w:r>
      <w:r>
        <w:t xml:space="preserve"> </w:t>
      </w:r>
      <w:r>
        <w:t xml:space="preserve">Failure to comply with these regulations may result in severe penalties, project suspension, or endangerment of personnel. All Chemical Engineers must undergo a site-specific safety briefing before commencing any experimental work in Canada Vancouver.</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 All items must be inspected for integrity and calibration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Pilot-Scale Reactor</w:t>
            </w:r>
          </w:p>
        </w:tc>
        <w:tc>
          <w:tcPr/>
          <w:p>
            <w:pPr>
              <w:pStyle w:val="Compact"/>
              <w:jc w:val="left"/>
            </w:pPr>
            <w:r>
              <w:t xml:space="preserve">Stainless Steel, 50L capacity, jacketed</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Zeolite-based, particle size 0.5-1mm</w:t>
            </w:r>
          </w:p>
        </w:tc>
        <w:tc>
          <w:tcPr/>
          <w:p>
            <w:pPr>
              <w:pStyle w:val="Compact"/>
              <w:jc w:val="left"/>
            </w:pPr>
            <w:r>
              <w:t xml:space="preserve">5 kg</w:t>
            </w:r>
          </w:p>
        </w:tc>
      </w:tr>
      <w:tr>
        <w:tc>
          <w:tcPr/>
          <w:p>
            <w:pPr>
              <w:pStyle w:val="Compact"/>
              <w:jc w:val="left"/>
            </w:pPr>
            <w:r>
              <w:t xml:space="preserve">Reactant A</w:t>
            </w:r>
          </w:p>
        </w:tc>
        <w:tc>
          <w:tcPr/>
          <w:p>
            <w:pPr>
              <w:pStyle w:val="Compact"/>
              <w:jc w:val="left"/>
            </w:pPr>
            <w:r>
              <w:t xml:space="preserve">Purity &gt;99%, stored in cool, dry environment</w:t>
            </w:r>
          </w:p>
        </w:tc>
        <w:tc>
          <w:tcPr/>
          <w:p>
            <w:pPr>
              <w:pStyle w:val="Compact"/>
              <w:jc w:val="left"/>
            </w:pPr>
            <w:r>
              <w:t xml:space="preserve">20 L</w:t>
            </w:r>
          </w:p>
        </w:tc>
      </w:tr>
      <w:tr>
        <w:tc>
          <w:tcPr/>
          <w:p>
            <w:pPr>
              <w:pStyle w:val="Compact"/>
              <w:jc w:val="left"/>
            </w:pPr>
            <w:r>
              <w:t xml:space="preserve">Reactant B</w:t>
            </w:r>
          </w:p>
        </w:tc>
        <w:tc>
          <w:tcPr/>
          <w:p>
            <w:pPr>
              <w:pStyle w:val="Compact"/>
              <w:jc w:val="left"/>
            </w:pPr>
            <w:r>
              <w:t xml:space="preserve">Purity &gt;98%, flammable, stored in explosion-proof cabinet</w:t>
            </w:r>
          </w:p>
        </w:tc>
        <w:tc>
          <w:tcPr/>
          <w:p>
            <w:pPr>
              <w:pStyle w:val="Compact"/>
              <w:jc w:val="left"/>
            </w:pPr>
            <w:r>
              <w:t xml:space="preserve">15 L</w:t>
            </w:r>
          </w:p>
        </w:tc>
      </w:tr>
      <w:tr>
        <w:tc>
          <w:tcPr/>
          <w:p>
            <w:pPr>
              <w:pStyle w:val="Compact"/>
              <w:jc w:val="left"/>
            </w:pPr>
            <w:r>
              <w:t xml:space="preserve">Temperature Sensors</w:t>
            </w:r>
          </w:p>
        </w:tc>
        <w:tc>
          <w:tcPr/>
          <w:p>
            <w:pPr>
              <w:pStyle w:val="Compact"/>
              <w:jc w:val="left"/>
            </w:pPr>
            <w:r>
              <w:t xml:space="preserve">Calibrated thermocouples, range -50°C to 300°C</w:t>
            </w:r>
          </w:p>
        </w:tc>
        <w:tc>
          <w:tcPr/>
          <w:p>
            <w:pPr>
              <w:pStyle w:val="Compact"/>
              <w:jc w:val="left"/>
            </w:pPr>
            <w:r>
              <w:t xml:space="preserve">4</w:t>
            </w:r>
          </w:p>
        </w:tc>
      </w:tr>
      <w:tr>
        <w:tc>
          <w:tcPr/>
          <w:p>
            <w:pPr>
              <w:pStyle w:val="Compact"/>
              <w:jc w:val="left"/>
            </w:pPr>
            <w:r>
              <w:t xml:space="preserve">Pressure Gauges</w:t>
            </w:r>
          </w:p>
        </w:tc>
        <w:tc>
          <w:tcPr/>
          <w:p>
            <w:pPr>
              <w:pStyle w:val="Compact"/>
              <w:jc w:val="left"/>
            </w:pPr>
            <w:r>
              <w:t xml:space="preserve">Calibrated, range 0-10 bar</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Lab coat, safety goggles, chemical-resistant gloves, face shield</w:t>
            </w:r>
          </w:p>
        </w:tc>
        <w:tc>
          <w:tcPr/>
          <w:p>
            <w:pPr>
              <w:pStyle w:val="Compact"/>
              <w:jc w:val="left"/>
            </w:pPr>
            <w:r>
              <w:t xml:space="preserve">As needed</w:t>
            </w:r>
          </w:p>
        </w:tc>
      </w:tr>
    </w:tbl>
    <w:bookmarkEnd w:id="22"/>
    <w:bookmarkStart w:id="28" w:name="experimental-procedure"/>
    <w:p>
      <w:pPr>
        <w:pStyle w:val="Heading2"/>
      </w:pPr>
      <w:r>
        <w:t xml:space="preserve">4. Experimental Procedure</w:t>
      </w:r>
    </w:p>
    <w:p>
      <w:pPr>
        <w:pStyle w:val="FirstParagraph"/>
      </w:pPr>
      <w:r>
        <w:t xml:space="preserve">The following steps outline the procedure for the experiment. Each step must be documented in the laboratory notebook with timestamps and observations.</w:t>
      </w:r>
    </w:p>
    <w:bookmarkStart w:id="23" w:name="pre-experiment-preparation"/>
    <w:p>
      <w:pPr>
        <w:pStyle w:val="Heading3"/>
      </w:pPr>
      <w:r>
        <w:t xml:space="preserve">4.1 Pre-Experiment Preparation</w:t>
      </w:r>
    </w:p>
    <w:p>
      <w:pPr>
        <w:numPr>
          <w:ilvl w:val="0"/>
          <w:numId w:val="1002"/>
        </w:numPr>
        <w:pStyle w:val="Compact"/>
      </w:pPr>
      <w:r>
        <w:t xml:space="preserve">Conduct a pre-start safety check of all equipment, including pressure relief valves and emergency shutdown systems.</w:t>
      </w:r>
    </w:p>
    <w:p>
      <w:pPr>
        <w:numPr>
          <w:ilvl w:val="0"/>
          <w:numId w:val="1002"/>
        </w:numPr>
        <w:pStyle w:val="Compact"/>
      </w:pPr>
      <w:r>
        <w:t xml:space="preserve">Verify that all personnel are wearing appropriate PPE.</w:t>
      </w:r>
    </w:p>
    <w:p>
      <w:pPr>
        <w:numPr>
          <w:ilvl w:val="0"/>
          <w:numId w:val="1002"/>
        </w:numPr>
        <w:pStyle w:val="Compact"/>
      </w:pPr>
      <w:r>
        <w:t xml:space="preserve">Ensure that the ventilation system in the Canada Vancouver facility is operational and functioning within specified parameters.</w:t>
      </w:r>
    </w:p>
    <w:p>
      <w:pPr>
        <w:numPr>
          <w:ilvl w:val="0"/>
          <w:numId w:val="1002"/>
        </w:numPr>
        <w:pStyle w:val="Compact"/>
      </w:pPr>
      <w:r>
        <w:t xml:space="preserve">Calibrate all sensors and record baseline readings.</w:t>
      </w:r>
    </w:p>
    <w:bookmarkEnd w:id="23"/>
    <w:bookmarkStart w:id="24" w:name="reactor-loading"/>
    <w:p>
      <w:pPr>
        <w:pStyle w:val="Heading3"/>
      </w:pPr>
      <w:r>
        <w:t xml:space="preserve">4.2 Reactor Loading</w:t>
      </w:r>
    </w:p>
    <w:p>
      <w:pPr>
        <w:numPr>
          <w:ilvl w:val="0"/>
          <w:numId w:val="1003"/>
        </w:numPr>
        <w:pStyle w:val="Compact"/>
      </w:pPr>
      <w:r>
        <w:t xml:space="preserve">Charge the reactor with the specified amount of catalyst.</w:t>
      </w:r>
    </w:p>
    <w:p>
      <w:pPr>
        <w:numPr>
          <w:ilvl w:val="0"/>
          <w:numId w:val="1003"/>
        </w:numPr>
        <w:pStyle w:val="Compact"/>
      </w:pPr>
      <w:r>
        <w:t xml:space="preserve">Slowly introduce Reactant A while monitoring temperature and pressure.</w:t>
      </w:r>
    </w:p>
    <w:p>
      <w:pPr>
        <w:numPr>
          <w:ilvl w:val="0"/>
          <w:numId w:val="1003"/>
        </w:numPr>
        <w:pStyle w:val="Compact"/>
      </w:pPr>
      <w:r>
        <w:t xml:space="preserve">Once Reactant A is fully loaded, begin stirring at a controlled rate of 200 RPM.</w:t>
      </w:r>
    </w:p>
    <w:bookmarkEnd w:id="24"/>
    <w:bookmarkStart w:id="25" w:name="reaction-initiation"/>
    <w:p>
      <w:pPr>
        <w:pStyle w:val="Heading3"/>
      </w:pPr>
      <w:r>
        <w:t xml:space="preserve">4.3 Reaction Initiation</w:t>
      </w:r>
    </w:p>
    <w:p>
      <w:pPr>
        <w:numPr>
          <w:ilvl w:val="0"/>
          <w:numId w:val="1004"/>
        </w:numPr>
        <w:pStyle w:val="Compact"/>
      </w:pPr>
      <w:r>
        <w:t xml:space="preserve">Gradually heat the reactor to the target temperature of 150°C using the jacketed heating system.</w:t>
      </w:r>
    </w:p>
    <w:p>
      <w:pPr>
        <w:numPr>
          <w:ilvl w:val="0"/>
          <w:numId w:val="1004"/>
        </w:numPr>
        <w:pStyle w:val="Compact"/>
      </w:pPr>
      <w:r>
        <w:t xml:space="preserve">Once the target temperature is reached, begin the controlled addition of Reactant B over a period of 2 hours.</w:t>
      </w:r>
    </w:p>
    <w:p>
      <w:pPr>
        <w:numPr>
          <w:ilvl w:val="0"/>
          <w:numId w:val="1004"/>
        </w:numPr>
        <w:pStyle w:val="Compact"/>
      </w:pPr>
      <w:r>
        <w:t xml:space="preserve">Monitor reaction parameters continuously, recording data at 5-minute intervals.</w:t>
      </w:r>
    </w:p>
    <w:bookmarkEnd w:id="25"/>
    <w:bookmarkStart w:id="26" w:name="reaction-monitoring"/>
    <w:p>
      <w:pPr>
        <w:pStyle w:val="Heading3"/>
      </w:pPr>
      <w:r>
        <w:t xml:space="preserve">4.4 Reaction Monitoring</w:t>
      </w:r>
    </w:p>
    <w:p>
      <w:pPr>
        <w:numPr>
          <w:ilvl w:val="0"/>
          <w:numId w:val="1005"/>
        </w:numPr>
        <w:pStyle w:val="Compact"/>
      </w:pPr>
      <w:r>
        <w:t xml:space="preserve">Maintain the reaction temperature within ±2°C of the setpoint.</w:t>
      </w:r>
    </w:p>
    <w:p>
      <w:pPr>
        <w:numPr>
          <w:ilvl w:val="0"/>
          <w:numId w:val="1005"/>
        </w:numPr>
        <w:pStyle w:val="Compact"/>
      </w:pPr>
      <w:r>
        <w:t xml:space="preserve">Monitor pressure levels and ensure they remain below the maximum operating limit of 5 bar.</w:t>
      </w:r>
    </w:p>
    <w:p>
      <w:pPr>
        <w:numPr>
          <w:ilvl w:val="0"/>
          <w:numId w:val="1005"/>
        </w:numPr>
        <w:pStyle w:val="Compact"/>
      </w:pPr>
      <w:r>
        <w:t xml:space="preserve">Take periodic samples for offline analysis to determine conversion rates and product selectivity.</w:t>
      </w:r>
    </w:p>
    <w:bookmarkEnd w:id="26"/>
    <w:bookmarkStart w:id="27" w:name="Xe482900df5d426bde2915d04e3f278e652ec1e9"/>
    <w:p>
      <w:pPr>
        <w:pStyle w:val="Heading3"/>
      </w:pPr>
      <w:r>
        <w:t xml:space="preserve">4.5 Reaction Termination and Product Recovery</w:t>
      </w:r>
    </w:p>
    <w:p>
      <w:pPr>
        <w:numPr>
          <w:ilvl w:val="0"/>
          <w:numId w:val="1006"/>
        </w:numPr>
        <w:pStyle w:val="Compact"/>
      </w:pPr>
      <w:r>
        <w:t xml:space="preserve">Once the reaction is complete (as determined by offline analysis), stop the addition of Reactant B.</w:t>
      </w:r>
    </w:p>
    <w:p>
      <w:pPr>
        <w:numPr>
          <w:ilvl w:val="0"/>
          <w:numId w:val="1006"/>
        </w:numPr>
        <w:pStyle w:val="Compact"/>
      </w:pPr>
      <w:r>
        <w:t xml:space="preserve">Allow the reactor to cool to room temperature using the cooling jacket.</w:t>
      </w:r>
    </w:p>
    <w:p>
      <w:pPr>
        <w:numPr>
          <w:ilvl w:val="0"/>
          <w:numId w:val="1006"/>
        </w:numPr>
        <w:pStyle w:val="Compact"/>
      </w:pPr>
      <w:r>
        <w:t xml:space="preserve">Depressurize the reactor safely and transfer the product to a storage vessel.</w:t>
      </w:r>
    </w:p>
    <w:p>
      <w:pPr>
        <w:numPr>
          <w:ilvl w:val="0"/>
          <w:numId w:val="1006"/>
        </w:numPr>
        <w:pStyle w:val="Compact"/>
      </w:pPr>
      <w:r>
        <w:t xml:space="preserve">Clean the reactor thoroughly and prepare it for the next run or storage.</w:t>
      </w:r>
    </w:p>
    <w:bookmarkEnd w:id="27"/>
    <w:bookmarkEnd w:id="28"/>
    <w:bookmarkStart w:id="29" w:name="data-analysis-and-reporting"/>
    <w:p>
      <w:pPr>
        <w:pStyle w:val="Heading2"/>
      </w:pPr>
      <w:r>
        <w:t xml:space="preserve">5. Data Analysis and Reporting</w:t>
      </w:r>
    </w:p>
    <w:p>
      <w:pPr>
        <w:pStyle w:val="FirstParagraph"/>
      </w:pPr>
      <w:r>
        <w:t xml:space="preserve">All data collected during the experiment must be analyzed using appropriate statistical methods. The Chemical Engineer is responsible for preparing a detailed report that includes:</w:t>
      </w:r>
    </w:p>
    <w:p>
      <w:pPr>
        <w:numPr>
          <w:ilvl w:val="0"/>
          <w:numId w:val="1007"/>
        </w:numPr>
        <w:pStyle w:val="Compact"/>
      </w:pPr>
      <w:r>
        <w:t xml:space="preserve">Summary of experimental conditions and parameters.</w:t>
      </w:r>
    </w:p>
    <w:p>
      <w:pPr>
        <w:numPr>
          <w:ilvl w:val="0"/>
          <w:numId w:val="1007"/>
        </w:numPr>
        <w:pStyle w:val="Compact"/>
      </w:pPr>
      <w:r>
        <w:t xml:space="preserve">Results of offline analyses, including conversion rates and product yields.</w:t>
      </w:r>
    </w:p>
    <w:p>
      <w:pPr>
        <w:numPr>
          <w:ilvl w:val="0"/>
          <w:numId w:val="1007"/>
        </w:numPr>
        <w:pStyle w:val="Compact"/>
      </w:pPr>
      <w:r>
        <w:t xml:space="preserve">Comparison of results with theoretical predictions and previous experiments.</w:t>
      </w:r>
    </w:p>
    <w:p>
      <w:pPr>
        <w:numPr>
          <w:ilvl w:val="0"/>
          <w:numId w:val="1007"/>
        </w:numPr>
        <w:pStyle w:val="Compact"/>
      </w:pPr>
      <w:r>
        <w:t xml:space="preserve">Identification of any anomalies or deviations from the protocol.</w:t>
      </w:r>
    </w:p>
    <w:p>
      <w:pPr>
        <w:numPr>
          <w:ilvl w:val="0"/>
          <w:numId w:val="1007"/>
        </w:numPr>
        <w:pStyle w:val="Compact"/>
      </w:pPr>
      <w:r>
        <w:t xml:space="preserve">Recommendations for process optimization and future experiments.</w:t>
      </w:r>
    </w:p>
    <w:p>
      <w:pPr>
        <w:pStyle w:val="FirstParagraph"/>
      </w:pPr>
      <w:r>
        <w:t xml:space="preserve">Reports must be submitted to the project manager and archived in accordance with the data management policies of the Canada Vancouver facility.</w:t>
      </w:r>
    </w:p>
    <w:bookmarkEnd w:id="29"/>
    <w:bookmarkStart w:id="30" w:name="X697b88c3ce6fe877185159853d57af274119488"/>
    <w:p>
      <w:pPr>
        <w:pStyle w:val="Heading2"/>
      </w:pPr>
      <w:r>
        <w:t xml:space="preserve">6. Waste Management and Environmental Considerations</w:t>
      </w:r>
    </w:p>
    <w:p>
      <w:pPr>
        <w:pStyle w:val="FirstParagraph"/>
      </w:pPr>
      <w:r>
        <w:t xml:space="preserve">Proper waste management is critical to minimizing the environmental impact of this experiment. All waste materials must be segregated and disposed of in accordance with the following guidelines:</w:t>
      </w:r>
    </w:p>
    <w:p>
      <w:pPr>
        <w:numPr>
          <w:ilvl w:val="0"/>
          <w:numId w:val="1008"/>
        </w:numPr>
        <w:pStyle w:val="Compact"/>
      </w:pPr>
      <w:r>
        <w:rPr>
          <w:bCs/>
          <w:b/>
        </w:rPr>
        <w:t xml:space="preserve">Chemical Waste:</w:t>
      </w:r>
      <w:r>
        <w:t xml:space="preserve"> </w:t>
      </w:r>
      <w:r>
        <w:t xml:space="preserve">Collect in labeled, compatible containers and store in the designated hazardous waste area.</w:t>
      </w:r>
    </w:p>
    <w:p>
      <w:pPr>
        <w:numPr>
          <w:ilvl w:val="0"/>
          <w:numId w:val="1008"/>
        </w:numPr>
        <w:pStyle w:val="Compact"/>
      </w:pPr>
      <w:r>
        <w:rPr>
          <w:bCs/>
          <w:b/>
        </w:rPr>
        <w:t xml:space="preserve">Catalyst Waste:</w:t>
      </w:r>
      <w:r>
        <w:t xml:space="preserve"> </w:t>
      </w:r>
      <w:r>
        <w:t xml:space="preserve">Dispose of as hazardous waste unless it can be regenerated and reused.</w:t>
      </w:r>
    </w:p>
    <w:p>
      <w:pPr>
        <w:numPr>
          <w:ilvl w:val="0"/>
          <w:numId w:val="1008"/>
        </w:numPr>
        <w:pStyle w:val="Compact"/>
      </w:pPr>
      <w:r>
        <w:rPr>
          <w:bCs/>
          <w:b/>
        </w:rPr>
        <w:t xml:space="preserve">Aqueous Waste:</w:t>
      </w:r>
      <w:r>
        <w:t xml:space="preserve"> </w:t>
      </w:r>
      <w:r>
        <w:t xml:space="preserve">Neutralize if necessary and discharge through the facility’s wastewater treatment system, ensuring compliance with local effluent standards.</w:t>
      </w:r>
    </w:p>
    <w:p>
      <w:pPr>
        <w:numPr>
          <w:ilvl w:val="0"/>
          <w:numId w:val="1008"/>
        </w:numPr>
        <w:pStyle w:val="Compact"/>
      </w:pPr>
      <w:r>
        <w:rPr>
          <w:bCs/>
          <w:b/>
        </w:rPr>
        <w:t xml:space="preserve">Solid Waste:</w:t>
      </w:r>
      <w:r>
        <w:t xml:space="preserve"> </w:t>
      </w:r>
      <w:r>
        <w:t xml:space="preserve">Dispose of in accordance with municipal regulations in Canada Vancouver.</w:t>
      </w:r>
    </w:p>
    <w:bookmarkEnd w:id="30"/>
    <w:bookmarkStart w:id="31" w:name="emergency-procedures"/>
    <w:p>
      <w:pPr>
        <w:pStyle w:val="Heading2"/>
      </w:pPr>
      <w:r>
        <w:t xml:space="preserve">7. Emergency Procedures</w:t>
      </w:r>
    </w:p>
    <w:p>
      <w:pPr>
        <w:pStyle w:val="FirstParagraph"/>
      </w:pPr>
      <w:r>
        <w:t xml:space="preserve">In the event of an emergency, the following procedures must be followed:</w:t>
      </w:r>
    </w:p>
    <w:p>
      <w:pPr>
        <w:numPr>
          <w:ilvl w:val="0"/>
          <w:numId w:val="1009"/>
        </w:numPr>
        <w:pStyle w:val="Compact"/>
      </w:pPr>
      <w:r>
        <w:rPr>
          <w:bCs/>
          <w:b/>
        </w:rPr>
        <w:t xml:space="preserve">Spill:</w:t>
      </w:r>
      <w:r>
        <w:t xml:space="preserve"> </w:t>
      </w:r>
      <w:r>
        <w:t xml:space="preserve">Contain the spill using appropriate absorbent materials and notify the safety officer immediately.</w:t>
      </w:r>
    </w:p>
    <w:p>
      <w:pPr>
        <w:numPr>
          <w:ilvl w:val="0"/>
          <w:numId w:val="1009"/>
        </w:numPr>
        <w:pStyle w:val="Compact"/>
      </w:pPr>
      <w:r>
        <w:rPr>
          <w:bCs/>
          <w:b/>
        </w:rPr>
        <w:t xml:space="preserve">Fire:</w:t>
      </w:r>
      <w:r>
        <w:t xml:space="preserve"> </w:t>
      </w:r>
      <w:r>
        <w:t xml:space="preserve">Activate the fire alarm and use the nearest fire extinguisher if safe to do so. Evacuate the area if necessary.</w:t>
      </w:r>
    </w:p>
    <w:p>
      <w:pPr>
        <w:numPr>
          <w:ilvl w:val="0"/>
          <w:numId w:val="1009"/>
        </w:numPr>
        <w:pStyle w:val="Compact"/>
      </w:pPr>
      <w:r>
        <w:rPr>
          <w:bCs/>
          <w:b/>
        </w:rPr>
        <w:t xml:space="preserve">Exposure:</w:t>
      </w:r>
      <w:r>
        <w:t xml:space="preserve"> </w:t>
      </w:r>
      <w:r>
        <w:t xml:space="preserve">Flush affected areas with water for at least 15 minutes and seek medical attention immediately.</w:t>
      </w:r>
    </w:p>
    <w:p>
      <w:pPr>
        <w:numPr>
          <w:ilvl w:val="0"/>
          <w:numId w:val="1009"/>
        </w:numPr>
        <w:pStyle w:val="Compact"/>
      </w:pPr>
      <w:r>
        <w:rPr>
          <w:bCs/>
          <w:b/>
        </w:rPr>
        <w:t xml:space="preserve">Equipment Failure:</w:t>
      </w:r>
      <w:r>
        <w:t xml:space="preserve"> </w:t>
      </w:r>
      <w:r>
        <w:t xml:space="preserve">Shut down the reactor using the emergency shutdown system and notify maintenance personnel.</w:t>
      </w:r>
    </w:p>
    <w:p>
      <w:pPr>
        <w:pStyle w:val="FirstParagraph"/>
      </w:pPr>
      <w:r>
        <w:t xml:space="preserve">All personnel must be familiar with the location of emergency exits, eyewash stations, and safety showers within the Canada Vancouver facility.</w:t>
      </w:r>
    </w:p>
    <w:bookmarkEnd w:id="31"/>
    <w:bookmarkStart w:id="32" w:name="conclusion"/>
    <w:p>
      <w:pPr>
        <w:pStyle w:val="Heading2"/>
      </w:pPr>
      <w:r>
        <w:t xml:space="preserve">8. Conclusion</w:t>
      </w:r>
    </w:p>
    <w:p>
      <w:pPr>
        <w:pStyle w:val="FirstParagraph"/>
      </w:pPr>
      <w:r>
        <w:t xml:space="preserve">This Experiment Protocol provides a comprehensive framework for conducting pilot-scale chemical reactions in a safe, compliant, and efficient manner. By adhering to these guidelines, Chemical Engineers in Canada Vancouver can ensure the success of their experiments while upholding the highest standards of safety and environmental responsibility.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Canada Vancouver</dc:title>
  <dc:creator/>
  <dc:language>en</dc:language>
  <cp:keywords/>
  <dcterms:created xsi:type="dcterms:W3CDTF">2026-10-10T02:10:14Z</dcterms:created>
  <dcterms:modified xsi:type="dcterms:W3CDTF">2026-10-10T02:10:14Z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