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China</w:t>
      </w:r>
      <w:r>
        <w:t xml:space="preserve"> </w:t>
      </w:r>
      <w:r>
        <w:t xml:space="preserve">Beijing</w:t>
      </w:r>
    </w:p>
    <w:bookmarkStart w:id="34" w:name="Xd4541e0d7a786e585049f9fe7d7d405d8fae97f"/>
    <w:p>
      <w:pPr>
        <w:pStyle w:val="Heading1"/>
      </w:pPr>
      <w:r>
        <w:t xml:space="preserve">Experiment Protocol: Advanced Catalytic Conversion of Biomass</w:t>
      </w:r>
    </w:p>
    <w:p>
      <w:pPr>
        <w:pStyle w:val="FirstParagraph"/>
      </w:pPr>
      <w:r>
        <w:rPr>
          <w:bCs/>
          <w:b/>
        </w:rPr>
        <w:t xml:space="preserve">Document ID:</w:t>
      </w:r>
      <w:r>
        <w:t xml:space="preserve"> </w:t>
      </w:r>
      <w:r>
        <w:t xml:space="preserve">BE-CHE-2023-045</w:t>
      </w:r>
    </w:p>
    <w:p>
      <w:pPr>
        <w:pStyle w:val="BodyText"/>
      </w:pPr>
      <w:r>
        <w:rPr>
          <w:bCs/>
          <w:b/>
        </w:rPr>
        <w:t xml:space="preserve">Location:</w:t>
      </w:r>
      <w:r>
        <w:t xml:space="preserve"> </w:t>
      </w:r>
      <w:r>
        <w:t xml:space="preserve">Beijing National Laboratory for Molecular Sciences, China Beijing</w:t>
      </w:r>
    </w:p>
    <w:p>
      <w:pPr>
        <w:pStyle w:val="BodyText"/>
      </w:pPr>
      <w:r>
        <w:rPr>
          <w:bCs/>
          <w:b/>
        </w:rPr>
        <w:t xml:space="preserve">Role:</w:t>
      </w:r>
      <w:r>
        <w:t xml:space="preserve"> </w:t>
      </w:r>
      <w:r>
        <w:t xml:space="preserve">Chemical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the catalytic conversion of lignocellulosic biomass into biofuels. This research is conducted within the jurisdiction of China Beijing, adhering to the strict environmental and safety regulations mandated by the Beijing Municipal Administration for Market Regulation and the Ministry of Ecology and Environment of the People's Republic of China.</w:t>
      </w:r>
    </w:p>
    <w:p>
      <w:pPr>
        <w:pStyle w:val="BodyText"/>
      </w:pPr>
      <w:r>
        <w:t xml:space="preserve">The primary objective is to optimize reaction parameters to maximize yield while minimizing byproduct formation. The Chemical Engineer responsible for this protocol must ensure that all experimental data is recorded accurately to support the broader goals of sustainable energy development in the region.</w:t>
      </w:r>
    </w:p>
    <w:bookmarkEnd w:id="20"/>
    <w:bookmarkStart w:id="21" w:name="Xc1bf6019d7c7f546cd756b019a9b2d8bdab0c79"/>
    <w:p>
      <w:pPr>
        <w:pStyle w:val="Heading2"/>
      </w:pPr>
      <w:r>
        <w:t xml:space="preserve">2. Regulatory Compliance and Safety Standards</w:t>
      </w:r>
    </w:p>
    <w:p>
      <w:pPr>
        <w:pStyle w:val="FirstParagraph"/>
      </w:pPr>
      <w:r>
        <w:t xml:space="preserve">Operating in China Beijing requires strict adherence to local and national safety codes. The Chemical Engineer must ensure compliance with the following:</w:t>
      </w:r>
    </w:p>
    <w:p>
      <w:pPr>
        <w:numPr>
          <w:ilvl w:val="0"/>
          <w:numId w:val="1001"/>
        </w:numPr>
        <w:pStyle w:val="Compact"/>
      </w:pPr>
      <w:r>
        <w:rPr>
          <w:bCs/>
          <w:b/>
        </w:rPr>
        <w:t xml:space="preserve">GB 15603-2022:</w:t>
      </w:r>
      <w:r>
        <w:t xml:space="preserve"> </w:t>
      </w:r>
      <w:r>
        <w:t xml:space="preserve">General rules for the storage of dangerous chemicals.</w:t>
      </w:r>
    </w:p>
    <w:p>
      <w:pPr>
        <w:numPr>
          <w:ilvl w:val="0"/>
          <w:numId w:val="1001"/>
        </w:numPr>
        <w:pStyle w:val="Compact"/>
      </w:pPr>
      <w:r>
        <w:rPr>
          <w:bCs/>
          <w:b/>
        </w:rPr>
        <w:t xml:space="preserve">GBZ 2.1-2019:</w:t>
      </w:r>
      <w:r>
        <w:t xml:space="preserve"> </w:t>
      </w:r>
      <w:r>
        <w:t xml:space="preserve">Occupational exposure limits for hazardous factors in the workplace.</w:t>
      </w:r>
    </w:p>
    <w:p>
      <w:pPr>
        <w:numPr>
          <w:ilvl w:val="0"/>
          <w:numId w:val="1001"/>
        </w:numPr>
        <w:pStyle w:val="Compact"/>
      </w:pPr>
      <w:r>
        <w:rPr>
          <w:bCs/>
          <w:b/>
        </w:rPr>
        <w:t xml:space="preserve">Beijing Local Regulations:</w:t>
      </w:r>
      <w:r>
        <w:t xml:space="preserve"> </w:t>
      </w:r>
      <w:r>
        <w:t xml:space="preserve">Specific waste disposal protocols for chemical effluents in the Beijing metropolitan area.</w:t>
      </w:r>
    </w:p>
    <w:p>
      <w:pPr>
        <w:pStyle w:val="FirstParagraph"/>
      </w:pPr>
      <w:r>
        <w:rPr>
          <w:bCs/>
          <w:b/>
        </w:rPr>
        <w:t xml:space="preserve">Note:</w:t>
      </w:r>
      <w:r>
        <w:t xml:space="preserve"> </w:t>
      </w:r>
      <w:r>
        <w:t xml:space="preserve">All personnel must possess valid safety training certificates recognized by the Beijing Emergency Management Bureau before entering the laboratory.</w:t>
      </w:r>
    </w:p>
    <w:bookmarkEnd w:id="21"/>
    <w:bookmarkStart w:id="24" w:name="materials-and-equipment"/>
    <w:p>
      <w:pPr>
        <w:pStyle w:val="Heading2"/>
      </w:pPr>
      <w:r>
        <w:t xml:space="preserve">3. Materials and Equipment</w:t>
      </w:r>
    </w:p>
    <w:bookmarkStart w:id="22" w:name="chemicals"/>
    <w:p>
      <w:pPr>
        <w:pStyle w:val="Heading3"/>
      </w:pPr>
      <w:r>
        <w:t xml:space="preserve">3.1 Chemicals</w:t>
      </w:r>
    </w:p>
    <w:p>
      <w:pPr>
        <w:numPr>
          <w:ilvl w:val="0"/>
          <w:numId w:val="1002"/>
        </w:numPr>
        <w:pStyle w:val="Compact"/>
      </w:pPr>
      <w:r>
        <w:t xml:space="preserve">Lignocellulosic biomass (sourced from certified suppliers in Hebei Province).</w:t>
      </w:r>
    </w:p>
    <w:p>
      <w:pPr>
        <w:numPr>
          <w:ilvl w:val="0"/>
          <w:numId w:val="1002"/>
        </w:numPr>
        <w:pStyle w:val="Compact"/>
      </w:pPr>
      <w:r>
        <w:t xml:space="preserve">Catalyst: Zeolite-based catalyst (synthesized in-house).</w:t>
      </w:r>
    </w:p>
    <w:p>
      <w:pPr>
        <w:numPr>
          <w:ilvl w:val="0"/>
          <w:numId w:val="1002"/>
        </w:numPr>
        <w:pStyle w:val="Compact"/>
      </w:pPr>
      <w:r>
        <w:t xml:space="preserve">Solvent: Ethanol (Analytical Grade, compliant with GB/T 679).</w:t>
      </w:r>
    </w:p>
    <w:p>
      <w:pPr>
        <w:numPr>
          <w:ilvl w:val="0"/>
          <w:numId w:val="1002"/>
        </w:numPr>
        <w:pStyle w:val="Compact"/>
      </w:pPr>
      <w:r>
        <w:t xml:space="preserve">Nitrogen gas (High purity, 99.999%).</w:t>
      </w:r>
    </w:p>
    <w:bookmarkEnd w:id="22"/>
    <w:bookmarkStart w:id="23" w:name="equipment"/>
    <w:p>
      <w:pPr>
        <w:pStyle w:val="Heading3"/>
      </w:pPr>
      <w:r>
        <w:t xml:space="preserve">3.2 Equipment</w:t>
      </w:r>
    </w:p>
    <w:p>
      <w:pPr>
        <w:numPr>
          <w:ilvl w:val="0"/>
          <w:numId w:val="1003"/>
        </w:numPr>
        <w:pStyle w:val="Compact"/>
      </w:pPr>
      <w:r>
        <w:t xml:space="preserve">High-pressure autoclave reactor (500 mL capacity).</w:t>
      </w:r>
    </w:p>
    <w:p>
      <w:pPr>
        <w:numPr>
          <w:ilvl w:val="0"/>
          <w:numId w:val="1003"/>
        </w:numPr>
        <w:pStyle w:val="Compact"/>
      </w:pPr>
      <w:r>
        <w:t xml:space="preserve">Gas chromatograph (GC) with mass spectrometry (MS) detector.</w:t>
      </w:r>
    </w:p>
    <w:p>
      <w:pPr>
        <w:numPr>
          <w:ilvl w:val="0"/>
          <w:numId w:val="1003"/>
        </w:numPr>
        <w:pStyle w:val="Compact"/>
      </w:pPr>
      <w:r>
        <w:t xml:space="preserve">Temperature and pressure control systems calibrated according to JJG standards.</w:t>
      </w:r>
    </w:p>
    <w:bookmarkEnd w:id="23"/>
    <w:bookmarkEnd w:id="24"/>
    <w:bookmarkStart w:id="29" w:name="experimental-procedure"/>
    <w:p>
      <w:pPr>
        <w:pStyle w:val="Heading2"/>
      </w:pPr>
      <w:r>
        <w:t xml:space="preserve">4. Experimental Procedure</w:t>
      </w:r>
    </w:p>
    <w:p>
      <w:pPr>
        <w:pStyle w:val="FirstParagraph"/>
      </w:pPr>
      <w:r>
        <w:t xml:space="preserve">The Chemical Engineer must follow these steps precisely to ensure reproducibility and safety.</w:t>
      </w:r>
    </w:p>
    <w:bookmarkStart w:id="25" w:name="preparation"/>
    <w:p>
      <w:pPr>
        <w:pStyle w:val="Heading3"/>
      </w:pPr>
      <w:r>
        <w:t xml:space="preserve">4.1 Preparation</w:t>
      </w:r>
    </w:p>
    <w:p>
      <w:pPr>
        <w:numPr>
          <w:ilvl w:val="0"/>
          <w:numId w:val="1004"/>
        </w:numPr>
        <w:pStyle w:val="Compact"/>
      </w:pPr>
      <w:r>
        <w:t xml:space="preserve">Inspect all equipment for integrity and calibration status.</w:t>
      </w:r>
    </w:p>
    <w:p>
      <w:pPr>
        <w:numPr>
          <w:ilvl w:val="0"/>
          <w:numId w:val="1004"/>
        </w:numPr>
        <w:pStyle w:val="Compact"/>
      </w:pPr>
      <w:r>
        <w:t xml:space="preserve">Wear appropriate Personal Protective Equipment (PPE), including lab coat, safety goggles, nitrile gloves, and face shield.</w:t>
      </w:r>
    </w:p>
    <w:p>
      <w:pPr>
        <w:numPr>
          <w:ilvl w:val="0"/>
          <w:numId w:val="1004"/>
        </w:numPr>
        <w:pStyle w:val="Compact"/>
      </w:pPr>
      <w:r>
        <w:t xml:space="preserve">Prepare the biomass feedstock by grinding and sieving to a particle size of 200-400 microns.</w:t>
      </w:r>
    </w:p>
    <w:bookmarkEnd w:id="25"/>
    <w:bookmarkStart w:id="26" w:name="reaction-setup"/>
    <w:p>
      <w:pPr>
        <w:pStyle w:val="Heading3"/>
      </w:pPr>
      <w:r>
        <w:t xml:space="preserve">4.2 Reaction Setup</w:t>
      </w:r>
    </w:p>
    <w:p>
      <w:pPr>
        <w:numPr>
          <w:ilvl w:val="0"/>
          <w:numId w:val="1005"/>
        </w:numPr>
        <w:pStyle w:val="Compact"/>
      </w:pPr>
      <w:r>
        <w:t xml:space="preserve">Load 50 grams of biomass and 5 grams of catalyst into the autoclave.</w:t>
      </w:r>
    </w:p>
    <w:p>
      <w:pPr>
        <w:numPr>
          <w:ilvl w:val="0"/>
          <w:numId w:val="1005"/>
        </w:numPr>
        <w:pStyle w:val="Compact"/>
      </w:pPr>
      <w:r>
        <w:t xml:space="preserve">Add 300 mL of ethanol solvent.</w:t>
      </w:r>
    </w:p>
    <w:p>
      <w:pPr>
        <w:numPr>
          <w:ilvl w:val="0"/>
          <w:numId w:val="1005"/>
        </w:numPr>
        <w:pStyle w:val="Compact"/>
      </w:pPr>
      <w:r>
        <w:t xml:space="preserve">Seal the reactor and purge the headspace with nitrogen gas three times to remove oxygen.</w:t>
      </w:r>
    </w:p>
    <w:p>
      <w:pPr>
        <w:numPr>
          <w:ilvl w:val="0"/>
          <w:numId w:val="1005"/>
        </w:numPr>
        <w:pStyle w:val="Compact"/>
      </w:pPr>
      <w:r>
        <w:t xml:space="preserve">Set the reactor temperature to 250°C and pressure to 5 MPa.</w:t>
      </w:r>
    </w:p>
    <w:bookmarkEnd w:id="26"/>
    <w:bookmarkStart w:id="27" w:name="reaction-monitoring"/>
    <w:p>
      <w:pPr>
        <w:pStyle w:val="Heading3"/>
      </w:pPr>
      <w:r>
        <w:t xml:space="preserve">4.3 Reaction Monitoring</w:t>
      </w:r>
    </w:p>
    <w:p>
      <w:pPr>
        <w:numPr>
          <w:ilvl w:val="0"/>
          <w:numId w:val="1006"/>
        </w:numPr>
        <w:pStyle w:val="Compact"/>
      </w:pPr>
      <w:r>
        <w:t xml:space="preserve">Maintain the reaction for 4 hours with continuous stirring at 500 rpm.</w:t>
      </w:r>
    </w:p>
    <w:p>
      <w:pPr>
        <w:numPr>
          <w:ilvl w:val="0"/>
          <w:numId w:val="1006"/>
        </w:numPr>
        <w:pStyle w:val="Compact"/>
      </w:pPr>
      <w:r>
        <w:t xml:space="preserve">Monitor temperature and pressure readings every 15 minutes.</w:t>
      </w:r>
    </w:p>
    <w:p>
      <w:pPr>
        <w:numPr>
          <w:ilvl w:val="0"/>
          <w:numId w:val="1006"/>
        </w:numPr>
        <w:pStyle w:val="Compact"/>
      </w:pPr>
      <w:r>
        <w:t xml:space="preserve">Record all data in the laboratory logbook and digital database.</w:t>
      </w:r>
    </w:p>
    <w:bookmarkEnd w:id="27"/>
    <w:bookmarkStart w:id="28" w:name="post-reaction-processing"/>
    <w:p>
      <w:pPr>
        <w:pStyle w:val="Heading3"/>
      </w:pPr>
      <w:r>
        <w:t xml:space="preserve">4.4 Post-Reaction Processing</w:t>
      </w:r>
    </w:p>
    <w:p>
      <w:pPr>
        <w:numPr>
          <w:ilvl w:val="0"/>
          <w:numId w:val="1007"/>
        </w:numPr>
        <w:pStyle w:val="Compact"/>
      </w:pPr>
      <w:r>
        <w:t xml:space="preserve">Allow the reactor to cool to room temperature naturally.</w:t>
      </w:r>
    </w:p>
    <w:p>
      <w:pPr>
        <w:numPr>
          <w:ilvl w:val="0"/>
          <w:numId w:val="1007"/>
        </w:numPr>
        <w:pStyle w:val="Compact"/>
      </w:pPr>
      <w:r>
        <w:t xml:space="preserve">Vent the pressure slowly through the scrubber system.</w:t>
      </w:r>
    </w:p>
    <w:p>
      <w:pPr>
        <w:numPr>
          <w:ilvl w:val="0"/>
          <w:numId w:val="1007"/>
        </w:numPr>
        <w:pStyle w:val="Compact"/>
      </w:pPr>
      <w:r>
        <w:t xml:space="preserve">Filter the reaction mixture to separate the solid catalyst from the liquid product.</w:t>
      </w:r>
    </w:p>
    <w:p>
      <w:pPr>
        <w:numPr>
          <w:ilvl w:val="0"/>
          <w:numId w:val="1007"/>
        </w:numPr>
        <w:pStyle w:val="Compact"/>
      </w:pPr>
      <w:r>
        <w:t xml:space="preserve">Analyze the liquid product using GC-MS to determine composition.</w:t>
      </w:r>
    </w:p>
    <w:bookmarkEnd w:id="28"/>
    <w:bookmarkEnd w:id="29"/>
    <w:bookmarkStart w:id="30" w:name="data-analysis-and-reporting"/>
    <w:p>
      <w:pPr>
        <w:pStyle w:val="Heading2"/>
      </w:pPr>
      <w:r>
        <w:t xml:space="preserve">5. Data Analysis and Reporting</w:t>
      </w:r>
    </w:p>
    <w:p>
      <w:pPr>
        <w:pStyle w:val="FirstParagraph"/>
      </w:pPr>
      <w:r>
        <w:t xml:space="preserve">The Chemical Engineer is responsible for analyzing the experimental data to calculate conversion rates and product yields. All results must be documented in a formal report following the ISO/IEC 17025 standard for testing and calibration laboratories. Reports should be submitted to the project supervisor and archived in the laboratory's secure server.</w:t>
      </w:r>
    </w:p>
    <w:bookmarkEnd w:id="30"/>
    <w:bookmarkStart w:id="31" w:name="waste-management"/>
    <w:p>
      <w:pPr>
        <w:pStyle w:val="Heading2"/>
      </w:pPr>
      <w:r>
        <w:t xml:space="preserve">6. Waste Management</w:t>
      </w:r>
    </w:p>
    <w:p>
      <w:pPr>
        <w:pStyle w:val="FirstParagraph"/>
      </w:pPr>
      <w:r>
        <w:t xml:space="preserve">Proper disposal of chemical waste is critical in China Beijing due to stringent environmental laws.</w:t>
      </w:r>
    </w:p>
    <w:p>
      <w:pPr>
        <w:numPr>
          <w:ilvl w:val="0"/>
          <w:numId w:val="1008"/>
        </w:numPr>
        <w:pStyle w:val="Compact"/>
      </w:pPr>
      <w:r>
        <w:rPr>
          <w:bCs/>
          <w:b/>
        </w:rPr>
        <w:t xml:space="preserve">Liquid Waste:</w:t>
      </w:r>
      <w:r>
        <w:t xml:space="preserve"> </w:t>
      </w:r>
      <w:r>
        <w:t xml:space="preserve">Collect in designated containers labeled according to GB 15562.2.</w:t>
      </w:r>
    </w:p>
    <w:p>
      <w:pPr>
        <w:numPr>
          <w:ilvl w:val="0"/>
          <w:numId w:val="1008"/>
        </w:numPr>
        <w:pStyle w:val="Compact"/>
      </w:pPr>
      <w:r>
        <w:rPr>
          <w:bCs/>
          <w:b/>
        </w:rPr>
        <w:t xml:space="preserve">Solid Waste:</w:t>
      </w:r>
      <w:r>
        <w:t xml:space="preserve"> </w:t>
      </w:r>
      <w:r>
        <w:t xml:space="preserve">Store in sealed bags and dispose of through licensed hazardous waste handlers.</w:t>
      </w:r>
    </w:p>
    <w:p>
      <w:pPr>
        <w:numPr>
          <w:ilvl w:val="0"/>
          <w:numId w:val="1008"/>
        </w:numPr>
        <w:pStyle w:val="Compact"/>
      </w:pPr>
      <w:r>
        <w:rPr>
          <w:bCs/>
          <w:b/>
        </w:rPr>
        <w:t xml:space="preserve">Catalyst:</w:t>
      </w:r>
      <w:r>
        <w:t xml:space="preserve"> </w:t>
      </w:r>
      <w:r>
        <w:t xml:space="preserve">Regenerate or dispose of as hazardous waste if contaminated.</w:t>
      </w:r>
    </w:p>
    <w:bookmarkEnd w:id="31"/>
    <w:bookmarkStart w:id="32" w:name="emergency-procedures"/>
    <w:p>
      <w:pPr>
        <w:pStyle w:val="Heading2"/>
      </w:pPr>
      <w:r>
        <w:t xml:space="preserve">7. Emergency Procedures</w:t>
      </w:r>
    </w:p>
    <w:p>
      <w:pPr>
        <w:pStyle w:val="FirstParagraph"/>
      </w:pPr>
      <w:r>
        <w:t xml:space="preserve">In case of an emergency, the Chemical Engineer must:</w:t>
      </w:r>
    </w:p>
    <w:p>
      <w:pPr>
        <w:numPr>
          <w:ilvl w:val="0"/>
          <w:numId w:val="1009"/>
        </w:numPr>
        <w:pStyle w:val="Compact"/>
      </w:pPr>
      <w:r>
        <w:t xml:space="preserve">Activate the emergency shutdown system.</w:t>
      </w:r>
    </w:p>
    <w:p>
      <w:pPr>
        <w:numPr>
          <w:ilvl w:val="0"/>
          <w:numId w:val="1009"/>
        </w:numPr>
        <w:pStyle w:val="Compact"/>
      </w:pPr>
      <w:r>
        <w:t xml:space="preserve">Evacuate the laboratory following the posted evacuation routes.</w:t>
      </w:r>
    </w:p>
    <w:p>
      <w:pPr>
        <w:numPr>
          <w:ilvl w:val="0"/>
          <w:numId w:val="1009"/>
        </w:numPr>
        <w:pStyle w:val="Compact"/>
      </w:pPr>
      <w:r>
        <w:t xml:space="preserve">Contact the laboratory safety officer and emergency services (119 for fire, 120 for medical).</w:t>
      </w:r>
    </w:p>
    <w:p>
      <w:pPr>
        <w:numPr>
          <w:ilvl w:val="0"/>
          <w:numId w:val="1009"/>
        </w:numPr>
        <w:pStyle w:val="Compact"/>
      </w:pPr>
      <w:r>
        <w:t xml:space="preserve">Report the incident to the Beijing Municipal Health Commission if required.</w:t>
      </w:r>
    </w:p>
    <w:bookmarkEnd w:id="32"/>
    <w:bookmarkStart w:id="33" w:name="signatures"/>
    <w:p>
      <w:pPr>
        <w:pStyle w:val="Heading2"/>
      </w:pPr>
      <w:r>
        <w:t xml:space="preserve">8. Signatures</w:t>
      </w:r>
    </w:p>
    <w:p>
      <w:pPr>
        <w:pStyle w:val="FirstParagraph"/>
      </w:pPr>
      <w:r>
        <w:rPr>
          <w:bCs/>
          <w:b/>
        </w:rPr>
        <w:t xml:space="preserve">Chemical Engineer:</w:t>
      </w:r>
      <w:r>
        <w:t xml:space="preserve"> </w:t>
      </w:r>
      <w:r>
        <w:t xml:space="preserve">_________________________</w:t>
      </w:r>
      <w:r>
        <w:t xml:space="preserve"> </w:t>
      </w:r>
      <w:r>
        <w:rPr>
          <w:bCs/>
          <w:b/>
        </w:rPr>
        <w:t xml:space="preserve">Date:</w:t>
      </w:r>
      <w:r>
        <w:t xml:space="preserve"> </w:t>
      </w:r>
      <w:r>
        <w:t xml:space="preserve">______________</w:t>
      </w:r>
    </w:p>
    <w:p>
      <w:pPr>
        <w:pStyle w:val="BodyText"/>
      </w:pPr>
      <w:r>
        <w:rPr>
          <w:bCs/>
          <w:b/>
        </w:rPr>
        <w:t xml:space="preserve">Supervisor:</w:t>
      </w:r>
      <w:r>
        <w:t xml:space="preserve"> </w:t>
      </w:r>
      <w:r>
        <w:t xml:space="preserve">_________________________</w:t>
      </w:r>
      <w:r>
        <w:t xml:space="preserve"> </w:t>
      </w:r>
      <w:r>
        <w:rPr>
          <w:bCs/>
          <w:b/>
        </w:rPr>
        <w:t xml:space="preserve">Date:</w:t>
      </w:r>
      <w:r>
        <w:t xml:space="preserve"> </w:t>
      </w:r>
      <w:r>
        <w:t xml:space="preserve">______________</w:t>
      </w:r>
    </w:p>
    <w:p>
      <w:pPr>
        <w:pStyle w:val="BodyText"/>
      </w:pPr>
      <w:r>
        <w:rPr>
          <w:bCs/>
          <w:b/>
        </w:rPr>
        <w:t xml:space="preserve">Safety Officer:</w:t>
      </w:r>
      <w:r>
        <w:t xml:space="preserve"> </w:t>
      </w:r>
      <w:r>
        <w:t xml:space="preserve">_________________________</w:t>
      </w:r>
      <w:r>
        <w:t xml:space="preserve"> </w:t>
      </w:r>
      <w:r>
        <w:rPr>
          <w:bCs/>
          <w:b/>
        </w:rPr>
        <w:t xml:space="preserve">Date:</w:t>
      </w:r>
      <w:r>
        <w:t xml:space="preserve"> </w:t>
      </w:r>
      <w:r>
        <w:t xml:space="preserve">______________</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China Beijing</dc:title>
  <dc:creator/>
  <dc:language>en</dc:language>
  <cp:keywords/>
  <dcterms:created xsi:type="dcterms:W3CDTF">2026-10-10T04:03:12Z</dcterms:created>
  <dcterms:modified xsi:type="dcterms:W3CDTF">2026-10-10T04:03:12Z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