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Xca15535ac8b9690a91f23e17e6dffc48c51b699"/>
    <w:p>
      <w:pPr>
        <w:pStyle w:val="Heading1"/>
      </w:pPr>
      <w:r>
        <w:t xml:space="preserve">Experiment Protocol: Advanced Catalytic Synthesis for Petrochemical Applications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EXP-GZ-CE-2023-042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China Guangzhou, Guangdong Province, PRC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Chemical Engineer (Lead Investigator)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Approved for Execution</w:t>
      </w:r>
    </w:p>
    <w:bookmarkStart w:id="20" w:name="objective-and-scope"/>
    <w:p>
      <w:pPr>
        <w:pStyle w:val="Heading2"/>
      </w:pPr>
      <w:r>
        <w:t xml:space="preserve">1. Objective and Scope</w:t>
      </w:r>
    </w:p>
    <w:p>
      <w:pPr>
        <w:pStyle w:val="FirstParagraph"/>
      </w:pPr>
      <w:r>
        <w:t xml:space="preserve">This Experiment Protocol outlines the standardized procedures for the synthesis and evaluation of novel zeolite-based catalysts intended for fluid catalytic cracking (FCC) processes. The primary objective is to enhance the yield of high-octane gasoline components while minimizing coke formation. This protocol is specifically designed for execution by a qualified Chemical Engineer within the industrial research facilities located in China Guangzhou, adhering to the rigorous standards of the Guangdong Petrochemical Industry Park.</w:t>
      </w:r>
    </w:p>
    <w:p>
      <w:pPr>
        <w:pStyle w:val="BodyText"/>
      </w:pPr>
      <w:r>
        <w:t xml:space="preserve">The scope includes catalyst preparation, characterization, bench-scale reactor testing, and data analysis. All procedures must align with the local environmental regulations of Guangzhou and the safety standards mandated by the Ministry of Emergency Management of China.</w:t>
      </w:r>
    </w:p>
    <w:bookmarkEnd w:id="20"/>
    <w:bookmarkStart w:id="21" w:name="regulatory-compliance-and-local-context"/>
    <w:p>
      <w:pPr>
        <w:pStyle w:val="Heading2"/>
      </w:pPr>
      <w:r>
        <w:t xml:space="preserve">2. Regulatory Compliance and Local Context</w:t>
      </w:r>
    </w:p>
    <w:p>
      <w:pPr>
        <w:pStyle w:val="FirstParagraph"/>
      </w:pPr>
      <w:r>
        <w:t xml:space="preserve">Operating in China Guangzhou requires strict adherence to both national and municipal regulations. The Chemical Engineer must ensure that all experimental activities comply with the</w:t>
      </w:r>
      <w:r>
        <w:t xml:space="preserve"> </w:t>
      </w:r>
      <w:r>
        <w:rPr>
          <w:iCs/>
          <w:i/>
        </w:rPr>
        <w:t xml:space="preserve">Work Safety Law of the People's Republic of China</w:t>
      </w:r>
      <w:r>
        <w:t xml:space="preserve"> </w:t>
      </w:r>
      <w:r>
        <w:t xml:space="preserve">and the</w:t>
      </w:r>
      <w:r>
        <w:t xml:space="preserve"> </w:t>
      </w:r>
      <w:r>
        <w:rPr>
          <w:iCs/>
          <w:i/>
        </w:rPr>
        <w:t xml:space="preserve">Environmental Protection Law</w:t>
      </w:r>
      <w:r>
        <w:t xml:space="preserve">.</w:t>
      </w:r>
    </w:p>
    <w:p>
      <w:pPr>
        <w:pStyle w:val="BodyText"/>
      </w:pPr>
      <w:r>
        <w:t xml:space="preserve">Specific considerations for the Guangzhou region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 Quality Standards:</w:t>
      </w:r>
      <w:r>
        <w:t xml:space="preserve"> </w:t>
      </w:r>
      <w:r>
        <w:t xml:space="preserve">Guangdong Province enforces stringent limits on volatile organic compound (VOC) emissions. All open-system experiments must be conducted within certified fume hoods equipped with activated carbon filtration.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Waste Management:</w:t>
      </w:r>
      <w:r>
        <w:t xml:space="preserve"> </w:t>
      </w:r>
      <w:r>
        <w:t xml:space="preserve">Hazardous chemical waste must be segregated according to the</w:t>
      </w:r>
      <w:r>
        <w:t xml:space="preserve"> </w:t>
      </w:r>
      <w:r>
        <w:rPr>
          <w:iCs/>
          <w:i/>
        </w:rPr>
        <w:t xml:space="preserve">Guangdong Province Hazardous Waste Management Regulations</w:t>
      </w:r>
      <w:r>
        <w:t xml:space="preserve"> </w:t>
      </w:r>
      <w:r>
        <w:t xml:space="preserve">and disposed of via licensed third-party contractors approved by the Guangzhou Ecology and Environment Bureau.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Facility Safety:</w:t>
      </w:r>
      <w:r>
        <w:t xml:space="preserve"> </w:t>
      </w:r>
      <w:r>
        <w:t xml:space="preserve">The laboratory must maintain fire suppression systems compatible with chemical fires (Class B and C), as required by local fire codes in the Nansha District industrial zone.</w:t>
      </w:r>
    </w:p>
    <w:bookmarkEnd w:id="21"/>
    <w:bookmarkStart w:id="22" w:name="roles-and-responsibilities"/>
    <w:p>
      <w:pPr>
        <w:pStyle w:val="Heading2"/>
      </w:pPr>
      <w:r>
        <w:t xml:space="preserve">3. Roles and Responsibilities</w:t>
      </w:r>
    </w:p>
    <w:p>
      <w:pPr>
        <w:pStyle w:val="FirstParagraph"/>
      </w:pPr>
      <w:r>
        <w:t xml:space="preserve">The Chemical Engineer serves as the primary authority for this experiment. Responsibilities include:</w:t>
      </w:r>
    </w:p>
    <w:p>
      <w:pPr>
        <w:numPr>
          <w:ilvl w:val="0"/>
          <w:numId w:val="1002"/>
        </w:numPr>
        <w:pStyle w:val="Compact"/>
      </w:pPr>
      <w:r>
        <w:t xml:space="preserve">Reviewing and approving all material safety data sheets (MSDS) for reagents used.</w:t>
      </w:r>
    </w:p>
    <w:p>
      <w:pPr>
        <w:numPr>
          <w:ilvl w:val="0"/>
          <w:numId w:val="1002"/>
        </w:numPr>
        <w:pStyle w:val="Compact"/>
      </w:pPr>
      <w:r>
        <w:t xml:space="preserve">Conducting a pre-experiment risk assessment specific to the Guangzhou facility layout.</w:t>
      </w:r>
    </w:p>
    <w:p>
      <w:pPr>
        <w:numPr>
          <w:ilvl w:val="0"/>
          <w:numId w:val="1002"/>
        </w:numPr>
        <w:pStyle w:val="Compact"/>
      </w:pPr>
      <w:r>
        <w:t xml:space="preserve">Ensuring all personnel are trained in emergency response procedures, including evacuation routes specific to the building.</w:t>
      </w:r>
    </w:p>
    <w:p>
      <w:pPr>
        <w:numPr>
          <w:ilvl w:val="0"/>
          <w:numId w:val="1002"/>
        </w:numPr>
        <w:pStyle w:val="Compact"/>
      </w:pPr>
      <w:r>
        <w:t xml:space="preserve">Documenting all experimental parameters in the central laboratory information management system (LIMS).</w:t>
      </w:r>
    </w:p>
    <w:bookmarkEnd w:id="22"/>
    <w:bookmarkStart w:id="25" w:name="materials-and-equipment"/>
    <w:p>
      <w:pPr>
        <w:pStyle w:val="Heading2"/>
      </w:pPr>
      <w:r>
        <w:t xml:space="preserve">4. Materials and Equipment</w:t>
      </w:r>
    </w:p>
    <w:bookmarkStart w:id="23" w:name="chemical-reagents"/>
    <w:p>
      <w:pPr>
        <w:pStyle w:val="Heading3"/>
      </w:pPr>
      <w:r>
        <w:t xml:space="preserve">4.1 Chemical Reagents</w:t>
      </w:r>
    </w:p>
    <w:p>
      <w:pPr>
        <w:numPr>
          <w:ilvl w:val="0"/>
          <w:numId w:val="1003"/>
        </w:numPr>
        <w:pStyle w:val="Compact"/>
      </w:pPr>
      <w:r>
        <w:t xml:space="preserve">Sodium Aluminate (NaAlO2), analytical grade.</w:t>
      </w:r>
    </w:p>
    <w:p>
      <w:pPr>
        <w:numPr>
          <w:ilvl w:val="0"/>
          <w:numId w:val="1003"/>
        </w:numPr>
        <w:pStyle w:val="Compact"/>
      </w:pPr>
      <w:r>
        <w:t xml:space="preserve">Tetraethyl Orthosilicate (TEOS), analytical grade.</w:t>
      </w:r>
    </w:p>
    <w:p>
      <w:pPr>
        <w:numPr>
          <w:ilvl w:val="0"/>
          <w:numId w:val="1003"/>
        </w:numPr>
        <w:pStyle w:val="Compact"/>
      </w:pPr>
      <w:r>
        <w:t xml:space="preserve">Tetrapropylammonium Hydroxide (TPAOH), 25% aqueous solution.</w:t>
      </w:r>
    </w:p>
    <w:p>
      <w:pPr>
        <w:numPr>
          <w:ilvl w:val="0"/>
          <w:numId w:val="1003"/>
        </w:numPr>
        <w:pStyle w:val="Compact"/>
      </w:pPr>
      <w:r>
        <w:t xml:space="preserve">Deionized water (resistivity &gt; 18.2 MΩ·cm).</w:t>
      </w:r>
    </w:p>
    <w:bookmarkEnd w:id="23"/>
    <w:bookmarkStart w:id="24" w:name="equipment"/>
    <w:p>
      <w:pPr>
        <w:pStyle w:val="Heading3"/>
      </w:pPr>
      <w:r>
        <w:t xml:space="preserve">4.2 Equipment</w:t>
      </w:r>
    </w:p>
    <w:p>
      <w:pPr>
        <w:numPr>
          <w:ilvl w:val="0"/>
          <w:numId w:val="1004"/>
        </w:numPr>
        <w:pStyle w:val="Compact"/>
      </w:pPr>
      <w:r>
        <w:t xml:space="preserve">High-pressure autoclave reactors (Teflon-lined, 100 mL capacity).</w:t>
      </w:r>
    </w:p>
    <w:p>
      <w:pPr>
        <w:numPr>
          <w:ilvl w:val="0"/>
          <w:numId w:val="1004"/>
        </w:numPr>
        <w:pStyle w:val="Compact"/>
      </w:pPr>
      <w:r>
        <w:t xml:space="preserve">Rotary evaporator for solvent removal.</w:t>
      </w:r>
    </w:p>
    <w:p>
      <w:pPr>
        <w:numPr>
          <w:ilvl w:val="0"/>
          <w:numId w:val="1004"/>
        </w:numPr>
        <w:pStyle w:val="Compact"/>
      </w:pPr>
      <w:r>
        <w:t xml:space="preserve">Muffle furnace capable of reaching 600°C with programmable ramp rates.</w:t>
      </w:r>
    </w:p>
    <w:p>
      <w:pPr>
        <w:numPr>
          <w:ilvl w:val="0"/>
          <w:numId w:val="1004"/>
        </w:numPr>
        <w:pStyle w:val="Compact"/>
      </w:pPr>
      <w:r>
        <w:t xml:space="preserve">Bench-scale fixed-bed reactor system with mass flow controllers.</w:t>
      </w:r>
    </w:p>
    <w:p>
      <w:pPr>
        <w:numPr>
          <w:ilvl w:val="0"/>
          <w:numId w:val="1004"/>
        </w:numPr>
        <w:pStyle w:val="Compact"/>
      </w:pPr>
      <w:r>
        <w:t xml:space="preserve">Gas chromatograph (GC) equipped with FID and TCD detectors for product analysis.</w:t>
      </w:r>
    </w:p>
    <w:bookmarkEnd w:id="24"/>
    <w:bookmarkEnd w:id="25"/>
    <w:bookmarkStart w:id="28" w:name="experimental-procedure"/>
    <w:p>
      <w:pPr>
        <w:pStyle w:val="Heading2"/>
      </w:pPr>
      <w:r>
        <w:t xml:space="preserve">5. Experimental Procedure</w:t>
      </w:r>
    </w:p>
    <w:bookmarkStart w:id="26" w:name="catalyst-synthesis"/>
    <w:p>
      <w:pPr>
        <w:pStyle w:val="Heading3"/>
      </w:pPr>
      <w:r>
        <w:t xml:space="preserve">5.1 Catalyst Synthesis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Preparation of Gel:</w:t>
      </w:r>
      <w:r>
        <w:t xml:space="preserve"> </w:t>
      </w:r>
      <w:r>
        <w:t xml:space="preserve">Dissolve sodium aluminate in deionized water under magnetic stirring at 60°C. Slowly add TEOS while maintaining a constant pH of 10.5 using nitric acid.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Crystallization:</w:t>
      </w:r>
      <w:r>
        <w:t xml:space="preserve"> </w:t>
      </w:r>
      <w:r>
        <w:t xml:space="preserve">Transfer the resulting gel into the autoclave. Add TPAOH as the structure-directing agent. Seal the autoclave and place it in the oven at 175°C for 48 hours.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Calcination:</w:t>
      </w:r>
      <w:r>
        <w:t xml:space="preserve"> </w:t>
      </w:r>
      <w:r>
        <w:t xml:space="preserve">Filter the crystallized product, wash with deionized water until neutral pH, and dry at 110°C. Calcine in the muffle furnace at 550°C for 6 hours to remove organic templates.</w:t>
      </w:r>
    </w:p>
    <w:bookmarkEnd w:id="26"/>
    <w:bookmarkStart w:id="27" w:name="reactor-testing"/>
    <w:p>
      <w:pPr>
        <w:pStyle w:val="Heading3"/>
      </w:pPr>
      <w:r>
        <w:t xml:space="preserve">5.2 Reactor Testing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Loading:</w:t>
      </w:r>
      <w:r>
        <w:t xml:space="preserve"> </w:t>
      </w:r>
      <w:r>
        <w:t xml:space="preserve">Load 5 grams of the calcined catalyst into the fixed-bed reactor. Ensure uniform packing to prevent channeling.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Activation:</w:t>
      </w:r>
      <w:r>
        <w:t xml:space="preserve"> </w:t>
      </w:r>
      <w:r>
        <w:t xml:space="preserve">Heat the reactor to 500°C under a nitrogen flow of 50 mL/min for 2 hours to activate the catalyst surface.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Reaction:</w:t>
      </w:r>
      <w:r>
        <w:t xml:space="preserve"> </w:t>
      </w:r>
      <w:r>
        <w:t xml:space="preserve">Introduce the feedstock (n-hexane) at a weight hourly space velocity (WHSV) of 2 h⁻¹. Maintain reaction temperature at 450°C and pressure at 1 atm.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Sampling:</w:t>
      </w:r>
      <w:r>
        <w:t xml:space="preserve"> </w:t>
      </w:r>
      <w:r>
        <w:t xml:space="preserve">Collect effluent gas samples every 30 minutes for the first 4 hours, then hourly for the remaining 16 hours of the run.</w:t>
      </w:r>
    </w:p>
    <w:bookmarkEnd w:id="27"/>
    <w:bookmarkEnd w:id="28"/>
    <w:bookmarkStart w:id="29" w:name="safety-and-emergency-procedures"/>
    <w:p>
      <w:pPr>
        <w:pStyle w:val="Heading2"/>
      </w:pPr>
      <w:r>
        <w:t xml:space="preserve">6. Safety and Emergency Procedures</w:t>
      </w:r>
    </w:p>
    <w:p>
      <w:pPr>
        <w:pStyle w:val="FirstParagraph"/>
      </w:pPr>
      <w:r>
        <w:t xml:space="preserve">The Chemical Engineer must enforce the following safety measures: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PPE:</w:t>
      </w:r>
      <w:r>
        <w:t xml:space="preserve"> </w:t>
      </w:r>
      <w:r>
        <w:t xml:space="preserve">All personnel must wear lab coats, safety goggles, nitrile gloves, and closed-toe shoes. Face shields are required during high-pressure operations.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Chemical Handling:</w:t>
      </w:r>
      <w:r>
        <w:t xml:space="preserve"> </w:t>
      </w:r>
      <w:r>
        <w:t xml:space="preserve">TPAOH is corrosive. Handle only in the fume hood. In case of skin contact, rinse immediately with water for at least 15 minutes and seek medical attention.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Fire Safety:</w:t>
      </w:r>
      <w:r>
        <w:t xml:space="preserve"> </w:t>
      </w:r>
      <w:r>
        <w:t xml:space="preserve">In the event of a fire, activate the nearest fire alarm and evacuate via the designated emergency exits. Do not attempt to extinguish large chemical fires without proper training and equipment.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Spill Response:</w:t>
      </w:r>
      <w:r>
        <w:t xml:space="preserve"> </w:t>
      </w:r>
      <w:r>
        <w:t xml:space="preserve">Use spill kits appropriate for the chemical involved. Neutralize acid spills with sodium bicarbonate and base spills with citric acid before cleanup.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Emergency contact numbers for the Guangzhou local fire department (119) and medical services (120) must be posted visibly in the laboratory.</w:t>
      </w:r>
    </w:p>
    <w:bookmarkEnd w:id="29"/>
    <w:bookmarkStart w:id="30" w:name="data-analysis-and-reporting"/>
    <w:p>
      <w:pPr>
        <w:pStyle w:val="Heading2"/>
      </w:pPr>
      <w:r>
        <w:t xml:space="preserve">7. Data Analysis and Reporting</w:t>
      </w:r>
    </w:p>
    <w:p>
      <w:pPr>
        <w:pStyle w:val="FirstParagraph"/>
      </w:pPr>
      <w:r>
        <w:t xml:space="preserve">The Chemical Engineer is responsible for analyzing the GC data to determine conversion rates, selectivity, and yield. Key performance indicators (KPIs) include:</w:t>
      </w:r>
    </w:p>
    <w:p>
      <w:pPr>
        <w:numPr>
          <w:ilvl w:val="0"/>
          <w:numId w:val="1008"/>
        </w:numPr>
        <w:pStyle w:val="Compact"/>
      </w:pPr>
      <w:r>
        <w:t xml:space="preserve">Conversion of n-hexane (&gt; 85% target).</w:t>
      </w:r>
    </w:p>
    <w:p>
      <w:pPr>
        <w:numPr>
          <w:ilvl w:val="0"/>
          <w:numId w:val="1008"/>
        </w:numPr>
        <w:pStyle w:val="Compact"/>
      </w:pPr>
      <w:r>
        <w:t xml:space="preserve">Selectivity to gasoline-range hydrocarbons (&gt; 60% target).</w:t>
      </w:r>
    </w:p>
    <w:p>
      <w:pPr>
        <w:numPr>
          <w:ilvl w:val="0"/>
          <w:numId w:val="1008"/>
        </w:numPr>
        <w:pStyle w:val="Compact"/>
      </w:pPr>
      <w:r>
        <w:t xml:space="preserve">Coke formation rate (&lt; 5% per hour target).</w:t>
      </w:r>
    </w:p>
    <w:p>
      <w:pPr>
        <w:pStyle w:val="FirstParagraph"/>
      </w:pPr>
      <w:r>
        <w:t xml:space="preserve">All data must be recorded in the LIMS and a comprehensive report submitted to the project manager within 5 working days of experiment completion. The report must include a discussion on the implications for scaling up the process within the Guangzhou industrial complex.</w:t>
      </w:r>
    </w:p>
    <w:bookmarkEnd w:id="30"/>
    <w:bookmarkStart w:id="31" w:name="approval-and-signatures"/>
    <w:p>
      <w:pPr>
        <w:pStyle w:val="Heading2"/>
      </w:pPr>
      <w:r>
        <w:t xml:space="preserve">8. Approval and Signatures</w:t>
      </w:r>
    </w:p>
    <w:p>
      <w:pPr>
        <w:pStyle w:val="FirstParagraph"/>
      </w:pPr>
      <w:r>
        <w:t xml:space="preserve">This protocol is approved for execution by the undersigned Chemical Engineer and the Laboratory Director.</w:t>
      </w:r>
    </w:p>
    <w:p>
      <w:pPr>
        <w:pStyle w:val="BodyText"/>
      </w:pPr>
      <w:r>
        <w:rPr>
          <w:bCs/>
          <w:b/>
        </w:rPr>
        <w:t xml:space="preserve">Chemical Engineer:</w:t>
      </w:r>
      <w:r>
        <w:t xml:space="preserve"> </w:t>
      </w:r>
      <w:r>
        <w:t xml:space="preserve">_________________________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</w:t>
      </w:r>
    </w:p>
    <w:p>
      <w:pPr>
        <w:pStyle w:val="BodyText"/>
      </w:pPr>
      <w:r>
        <w:rPr>
          <w:bCs/>
          <w:b/>
        </w:rPr>
        <w:t xml:space="preserve">Laboratory Director:</w:t>
      </w:r>
      <w:r>
        <w:t xml:space="preserve"> </w:t>
      </w:r>
      <w:r>
        <w:t xml:space="preserve">_________________________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Chemical Engineer Operations in China Guangzhou</dc:title>
  <dc:creator/>
  <dc:language>en</dc:language>
  <cp:keywords/>
  <dcterms:created xsi:type="dcterms:W3CDTF">2026-10-10T08:31:29Z</dcterms:created>
  <dcterms:modified xsi:type="dcterms:W3CDTF">2026-10-10T08:31:29Z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