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Conversion</w:t>
      </w:r>
      <w:r>
        <w:t xml:space="preserve"> </w:t>
      </w:r>
      <w:r>
        <w:t xml:space="preserve">in</w:t>
      </w:r>
      <w:r>
        <w:t xml:space="preserve"> </w:t>
      </w:r>
      <w:r>
        <w:t xml:space="preserve">Shanghai</w:t>
      </w:r>
    </w:p>
    <w:bookmarkStart w:id="20" w:name="Xef75a1f654f5b36e847f0cdf93f35280bb54ca6"/>
    <w:p>
      <w:pPr>
        <w:pStyle w:val="Heading1"/>
      </w:pPr>
      <w:r>
        <w:t xml:space="preserve">Experiment Protocol: High-Efficiency Catalytic Conversion of Volatile Organic Compounds</w:t>
      </w:r>
    </w:p>
    <w:p>
      <w:pPr>
        <w:pStyle w:val="FirstParagraph"/>
      </w:pPr>
      <w:r>
        <w:rPr>
          <w:bCs/>
          <w:b/>
        </w:rPr>
        <w:t xml:space="preserve">Location:</w:t>
      </w:r>
      <w:r>
        <w:t xml:space="preserve"> </w:t>
      </w:r>
      <w:r>
        <w:t xml:space="preserve">Shanghai Chemical Industry Park, Pudong New Area, China Shanghai</w:t>
      </w:r>
    </w:p>
    <w:p>
      <w:pPr>
        <w:pStyle w:val="BodyText"/>
      </w:pPr>
      <w:r>
        <w:rPr>
          <w:bCs/>
          <w:b/>
        </w:rPr>
        <w:t xml:space="preserve">Prepared By:</w:t>
      </w:r>
      <w:r>
        <w:t xml:space="preserve"> </w:t>
      </w:r>
      <w:r>
        <w:t xml:space="preserve">Senior Chemical Engineer, Process Development Division</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SH-CE-2023-VOC-042</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the evaluation of novel metal-oxide catalysts designed for the abatement of Volatile Organic Compounds (VOCs) in industrial exhaust streams. The primary objective is to determine the catalytic activity, selectivity, and thermal stability of the synthesized materials under conditions simulating the high-humidity environment typical of China Shanghai.</w:t>
      </w:r>
    </w:p>
    <w:p>
      <w:pPr>
        <w:pStyle w:val="BodyText"/>
      </w:pPr>
      <w:r>
        <w:t xml:space="preserve">As a Chemical Engineer operating within the stringent regulatory framework of the Shanghai Municipal Ecology and Environment Bureau, this experiment aims to validate a scalable solution for reducing industrial emissions. The scope includes catalyst preparation, fixed-bed reactor testing, gas chromatography analysis, and comprehensive safety assessments in accordance with Chinese National Standards (GB).</w:t>
      </w:r>
    </w:p>
    <w:bookmarkEnd w:id="21"/>
    <w:bookmarkStart w:id="22" w:name="regulatory-compliance-and-standards"/>
    <w:p>
      <w:pPr>
        <w:pStyle w:val="Heading2"/>
      </w:pPr>
      <w:r>
        <w:t xml:space="preserve">2. Regulatory Compliance and Standards</w:t>
      </w:r>
    </w:p>
    <w:p>
      <w:pPr>
        <w:pStyle w:val="FirstParagraph"/>
      </w:pPr>
      <w:r>
        <w:t xml:space="preserve">All procedures must strictly adhere to the following regulations applicable to chemical engineering operations in Shanghai:</w:t>
      </w:r>
    </w:p>
    <w:p>
      <w:pPr>
        <w:numPr>
          <w:ilvl w:val="0"/>
          <w:numId w:val="1001"/>
        </w:numPr>
        <w:pStyle w:val="Compact"/>
      </w:pPr>
      <w:r>
        <w:rPr>
          <w:bCs/>
          <w:b/>
        </w:rPr>
        <w:t xml:space="preserve">GB 37822-2019:</w:t>
      </w:r>
      <w:r>
        <w:t xml:space="preserve"> </w:t>
      </w:r>
      <w:r>
        <w:t xml:space="preserve">Emission standard of volatile organic compounds.</w:t>
      </w:r>
    </w:p>
    <w:p>
      <w:pPr>
        <w:numPr>
          <w:ilvl w:val="0"/>
          <w:numId w:val="1001"/>
        </w:numPr>
        <w:pStyle w:val="Compact"/>
      </w:pPr>
      <w:r>
        <w:rPr>
          <w:bCs/>
          <w:b/>
        </w:rPr>
        <w:t xml:space="preserve">GB 15562.1-1995:</w:t>
      </w:r>
      <w:r>
        <w:t xml:space="preserve"> </w:t>
      </w:r>
      <w:r>
        <w:t xml:space="preserve">Environmental protection graphic symbols for pollution sources.</w:t>
      </w:r>
    </w:p>
    <w:p>
      <w:pPr>
        <w:numPr>
          <w:ilvl w:val="0"/>
          <w:numId w:val="1001"/>
        </w:numPr>
        <w:pStyle w:val="Compact"/>
      </w:pPr>
      <w:r>
        <w:rPr>
          <w:bCs/>
          <w:b/>
        </w:rPr>
        <w:t xml:space="preserve">Local Shanghai Regulations:</w:t>
      </w:r>
      <w:r>
        <w:t xml:space="preserve"> </w:t>
      </w:r>
      <w:r>
        <w:t xml:space="preserve">Specific guidelines for hazardous chemical storage and waste disposal in the Pudong New Area.</w:t>
      </w:r>
    </w:p>
    <w:p>
      <w:pPr>
        <w:pStyle w:val="FirstParagraph"/>
      </w:pPr>
      <w:r>
        <w:t xml:space="preserve">The Chemical Engineer responsible for this protocol must ensure that all personnel are certified in hazardous material handling and that the laboratory is equipped with real-time air quality monitoring systems.</w:t>
      </w:r>
    </w:p>
    <w:bookmarkEnd w:id="22"/>
    <w:bookmarkStart w:id="25" w:name="materials-and-equipment"/>
    <w:p>
      <w:pPr>
        <w:pStyle w:val="Heading2"/>
      </w:pPr>
      <w:r>
        <w:t xml:space="preserve">3. Materials and Equipment</w:t>
      </w:r>
    </w:p>
    <w:bookmarkStart w:id="23" w:name="chemical-reagents"/>
    <w:p>
      <w:pPr>
        <w:pStyle w:val="Heading3"/>
      </w:pPr>
      <w:r>
        <w:t xml:space="preserve">3.1 Chemical Reagents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Purity</w:t>
            </w:r>
          </w:p>
        </w:tc>
        <w:tc>
          <w:tcPr/>
          <w:p>
            <w:pPr>
              <w:pStyle w:val="Compact"/>
              <w:jc w:val="left"/>
            </w:pPr>
            <w:r>
              <w:t xml:space="preserve">Quantity</w:t>
            </w:r>
          </w:p>
        </w:tc>
        <w:tc>
          <w:tcPr/>
          <w:p>
            <w:pPr>
              <w:pStyle w:val="Compact"/>
              <w:jc w:val="left"/>
            </w:pPr>
            <w:r>
              <w:t xml:space="preserve">Safety Note</w:t>
            </w:r>
          </w:p>
        </w:tc>
      </w:tr>
      <w:tr>
        <w:tc>
          <w:tcPr/>
          <w:p>
            <w:pPr>
              <w:pStyle w:val="Compact"/>
              <w:jc w:val="left"/>
            </w:pPr>
            <w:r>
              <w:t xml:space="preserve">Titanium Dioxide (TiO2)</w:t>
            </w:r>
          </w:p>
        </w:tc>
        <w:tc>
          <w:tcPr/>
          <w:p>
            <w:pPr>
              <w:pStyle w:val="Compact"/>
              <w:jc w:val="left"/>
            </w:pPr>
            <w:r>
              <w:t xml:space="preserve">99.9%</w:t>
            </w:r>
          </w:p>
        </w:tc>
        <w:tc>
          <w:tcPr/>
          <w:p>
            <w:pPr>
              <w:pStyle w:val="Compact"/>
              <w:jc w:val="left"/>
            </w:pPr>
            <w:r>
              <w:t xml:space="preserve">500g</w:t>
            </w:r>
          </w:p>
        </w:tc>
        <w:tc>
          <w:tcPr/>
          <w:p>
            <w:pPr>
              <w:pStyle w:val="Compact"/>
              <w:jc w:val="left"/>
            </w:pPr>
            <w:r>
              <w:t xml:space="preserve">Wear dust mask</w:t>
            </w:r>
          </w:p>
        </w:tc>
      </w:tr>
      <w:tr>
        <w:tc>
          <w:tcPr/>
          <w:p>
            <w:pPr>
              <w:pStyle w:val="Compact"/>
              <w:jc w:val="left"/>
            </w:pPr>
            <w:r>
              <w:t xml:space="preserve">Toluene (Simulated VOC)</w:t>
            </w:r>
          </w:p>
        </w:tc>
        <w:tc>
          <w:tcPr/>
          <w:p>
            <w:pPr>
              <w:pStyle w:val="Compact"/>
              <w:jc w:val="left"/>
            </w:pPr>
            <w:r>
              <w:t xml:space="preserve">99.5%</w:t>
            </w:r>
          </w:p>
        </w:tc>
        <w:tc>
          <w:tcPr/>
          <w:p>
            <w:pPr>
              <w:pStyle w:val="Compact"/>
              <w:jc w:val="left"/>
            </w:pPr>
            <w:r>
              <w:t xml:space="preserve">200ml</w:t>
            </w:r>
          </w:p>
        </w:tc>
        <w:tc>
          <w:tcPr/>
          <w:p>
            <w:pPr>
              <w:pStyle w:val="Compact"/>
              <w:jc w:val="left"/>
            </w:pPr>
            <w:r>
              <w:t xml:space="preserve">Flammable, Toxic</w:t>
            </w:r>
          </w:p>
        </w:tc>
      </w:tr>
      <w:tr>
        <w:tc>
          <w:tcPr/>
          <w:p>
            <w:pPr>
              <w:pStyle w:val="Compact"/>
              <w:jc w:val="left"/>
            </w:pPr>
            <w:r>
              <w:t xml:space="preserve">Nitrogen Gas (Carrier)</w:t>
            </w:r>
          </w:p>
        </w:tc>
        <w:tc>
          <w:tcPr/>
          <w:p>
            <w:pPr>
              <w:pStyle w:val="Compact"/>
              <w:jc w:val="left"/>
            </w:pPr>
            <w:r>
              <w:t xml:space="preserve">99.999%</w:t>
            </w:r>
          </w:p>
        </w:tc>
        <w:tc>
          <w:tcPr/>
          <w:p>
            <w:pPr>
              <w:pStyle w:val="Compact"/>
              <w:jc w:val="left"/>
            </w:pPr>
            <w:r>
              <w:t xml:space="preserve">As needed</w:t>
            </w:r>
          </w:p>
        </w:tc>
        <w:tc>
          <w:tcPr/>
          <w:p>
            <w:pPr>
              <w:pStyle w:val="Compact"/>
              <w:jc w:val="left"/>
            </w:pPr>
            <w:r>
              <w:t xml:space="preserve">Asphyxiation risk</w:t>
            </w:r>
          </w:p>
        </w:tc>
      </w:tr>
    </w:tbl>
    <w:bookmarkEnd w:id="23"/>
    <w:bookmarkStart w:id="24" w:name="equipment"/>
    <w:p>
      <w:pPr>
        <w:pStyle w:val="Heading3"/>
      </w:pPr>
      <w:r>
        <w:t xml:space="preserve">3.2 Equipment</w:t>
      </w:r>
    </w:p>
    <w:p>
      <w:pPr>
        <w:numPr>
          <w:ilvl w:val="0"/>
          <w:numId w:val="1002"/>
        </w:numPr>
        <w:pStyle w:val="Compact"/>
      </w:pPr>
      <w:r>
        <w:t xml:space="preserve">Fixed-bed quartz reactor system with temperature control (0-800°C).</w:t>
      </w:r>
    </w:p>
    <w:p>
      <w:pPr>
        <w:numPr>
          <w:ilvl w:val="0"/>
          <w:numId w:val="1002"/>
        </w:numPr>
        <w:pStyle w:val="Compact"/>
      </w:pPr>
      <w:r>
        <w:t xml:space="preserve">Mass Flow Controllers (MFC) calibrated for Shanghai atmospheric pressure.</w:t>
      </w:r>
    </w:p>
    <w:p>
      <w:pPr>
        <w:numPr>
          <w:ilvl w:val="0"/>
          <w:numId w:val="1002"/>
        </w:numPr>
        <w:pStyle w:val="Compact"/>
      </w:pPr>
      <w:r>
        <w:t xml:space="preserve">Gas Chromatograph (GC) with FID detector for effluent analysis.</w:t>
      </w:r>
    </w:p>
    <w:p>
      <w:pPr>
        <w:numPr>
          <w:ilvl w:val="0"/>
          <w:numId w:val="1002"/>
        </w:numPr>
        <w:pStyle w:val="Compact"/>
      </w:pPr>
      <w:r>
        <w:t xml:space="preserve">Humidity generator to simulate Shanghai's average relative humidity (70-80%).</w:t>
      </w:r>
    </w:p>
    <w:bookmarkEnd w:id="24"/>
    <w:bookmarkEnd w:id="25"/>
    <w:bookmarkStart w:id="30" w:name="experimental-procedure"/>
    <w:p>
      <w:pPr>
        <w:pStyle w:val="Heading2"/>
      </w:pPr>
      <w:r>
        <w:t xml:space="preserve">4. Experimental Procedure</w:t>
      </w:r>
    </w:p>
    <w:bookmarkStart w:id="26" w:name="catalyst-preparation"/>
    <w:p>
      <w:pPr>
        <w:pStyle w:val="Heading3"/>
      </w:pPr>
      <w:r>
        <w:t xml:space="preserve">4.1 Catalyst Preparation</w:t>
      </w:r>
    </w:p>
    <w:p>
      <w:pPr>
        <w:pStyle w:val="FirstParagraph"/>
      </w:pPr>
      <w:r>
        <w:t xml:space="preserve">The Chemical Engineer shall prepare the catalyst using the impregnation method. Dissolve the metal precursor in deionized water and add the support material. Stir for 12 hours at room temperature. Dry the mixture in an oven at 110°C for 6 hours, followed by calcination at 500°C for 4 hours in a muffle furnace. Ensure the furnace is located in a well-ventilated fume hood compliant with Shanghai industrial safety codes.</w:t>
      </w:r>
    </w:p>
    <w:bookmarkEnd w:id="26"/>
    <w:bookmarkStart w:id="27" w:name="reactor-setup"/>
    <w:p>
      <w:pPr>
        <w:pStyle w:val="Heading3"/>
      </w:pPr>
      <w:r>
        <w:t xml:space="preserve">4.2 Reactor Setup</w:t>
      </w:r>
    </w:p>
    <w:p>
      <w:pPr>
        <w:pStyle w:val="FirstParagraph"/>
      </w:pPr>
      <w:r>
        <w:t xml:space="preserve">Load 0.5 grams of the prepared catalyst into the fixed-bed reactor. Ensure the catalyst bed is leveled to prevent channeling. Connect the reactor to the gas supply lines. Perform a leak test using nitrogen gas at 5 bar pressure. Verify that all pressure relief valves are functional.</w:t>
      </w:r>
    </w:p>
    <w:bookmarkEnd w:id="27"/>
    <w:bookmarkStart w:id="28" w:name="reaction-conditions"/>
    <w:p>
      <w:pPr>
        <w:pStyle w:val="Heading3"/>
      </w:pPr>
      <w:r>
        <w:t xml:space="preserve">4.3 Reaction Conditions</w:t>
      </w:r>
    </w:p>
    <w:p>
      <w:pPr>
        <w:pStyle w:val="FirstParagraph"/>
      </w:pPr>
      <w:r>
        <w:t xml:space="preserve">Initiate the flow of nitrogen gas at 100 mL/min. Introduce toluene vapor using a saturator to achieve a concentration of 1000 ppm. Adjust the humidity generator to maintain 75% relative humidity, reflecting the ambient conditions of China Shanghai during the monsoon season. Gradually increase the reactor temperature from 150°C to 400°C in increments of 25°C, holding for 30 minutes at each step to reach steady state.</w:t>
      </w:r>
    </w:p>
    <w:bookmarkEnd w:id="28"/>
    <w:bookmarkStart w:id="29" w:name="data-collection"/>
    <w:p>
      <w:pPr>
        <w:pStyle w:val="Heading3"/>
      </w:pPr>
      <w:r>
        <w:t xml:space="preserve">4.4 Data Collection</w:t>
      </w:r>
    </w:p>
    <w:p>
      <w:pPr>
        <w:pStyle w:val="FirstParagraph"/>
      </w:pPr>
      <w:r>
        <w:t xml:space="preserve">Collect effluent gas samples every 10 minutes using the Gas Chromatograph. Record the conversion rate of toluene and the selectivity towards CO2 and H2O. Monitor the pressure drop across the catalyst bed to detect potential fouling or sintering.</w:t>
      </w:r>
    </w:p>
    <w:bookmarkEnd w:id="29"/>
    <w:bookmarkEnd w:id="30"/>
    <w:bookmarkStart w:id="31" w:name="safety-and-risk-management"/>
    <w:p>
      <w:pPr>
        <w:pStyle w:val="Heading2"/>
      </w:pPr>
      <w:r>
        <w:t xml:space="preserve">5. Safety and Risk Management</w:t>
      </w:r>
    </w:p>
    <w:p>
      <w:pPr>
        <w:pStyle w:val="FirstParagraph"/>
      </w:pPr>
      <w:r>
        <w:rPr>
          <w:bCs/>
          <w:b/>
        </w:rPr>
        <w:t xml:space="preserve">CRITICAL SAFETY NOTICE:</w:t>
      </w:r>
      <w:r>
        <w:t xml:space="preserve"> </w:t>
      </w:r>
      <w:r>
        <w:t xml:space="preserve">Toluene is highly flammable and toxic. All operations must be conducted within an explosion-proof laboratory environment.</w:t>
      </w:r>
    </w:p>
    <w:p>
      <w:pPr>
        <w:pStyle w:val="BodyText"/>
      </w:pPr>
      <w:r>
        <w:t xml:space="preserve">The Chemical Engineer must ensure that:</w:t>
      </w:r>
    </w:p>
    <w:p>
      <w:pPr>
        <w:numPr>
          <w:ilvl w:val="0"/>
          <w:numId w:val="1003"/>
        </w:numPr>
        <w:pStyle w:val="Compact"/>
      </w:pPr>
      <w:r>
        <w:t xml:space="preserve">Personal Protective Equipment (PPE) including lab coats, safety goggles, and nitrile gloves is worn at all times.</w:t>
      </w:r>
    </w:p>
    <w:p>
      <w:pPr>
        <w:numPr>
          <w:ilvl w:val="0"/>
          <w:numId w:val="1003"/>
        </w:numPr>
        <w:pStyle w:val="Compact"/>
      </w:pPr>
      <w:r>
        <w:t xml:space="preserve">An emergency eyewash station and safety shower are accessible within 10 seconds of the work area.</w:t>
      </w:r>
    </w:p>
    <w:p>
      <w:pPr>
        <w:numPr>
          <w:ilvl w:val="0"/>
          <w:numId w:val="1003"/>
        </w:numPr>
        <w:pStyle w:val="Compact"/>
      </w:pPr>
      <w:r>
        <w:t xml:space="preserve">Fire extinguishers (Class B) are inspected and ready for use.</w:t>
      </w:r>
    </w:p>
    <w:p>
      <w:pPr>
        <w:numPr>
          <w:ilvl w:val="0"/>
          <w:numId w:val="1003"/>
        </w:numPr>
        <w:pStyle w:val="Compact"/>
      </w:pPr>
      <w:r>
        <w:t xml:space="preserve">In the event of a spill, the Shanghai Emergency Response Protocol for Chemical Hazards must be activated immediately.</w:t>
      </w:r>
    </w:p>
    <w:bookmarkEnd w:id="31"/>
    <w:bookmarkStart w:id="32" w:name="waste-disposal"/>
    <w:p>
      <w:pPr>
        <w:pStyle w:val="Heading2"/>
      </w:pPr>
      <w:r>
        <w:t xml:space="preserve">6. Waste Disposal</w:t>
      </w:r>
    </w:p>
    <w:p>
      <w:pPr>
        <w:pStyle w:val="FirstParagraph"/>
      </w:pPr>
      <w:r>
        <w:t xml:space="preserve">All liquid waste containing toluene or metal residues must be collected in labeled hazardous waste containers. Solid waste, including used catalysts, must be segregated according to the Shanghai Municipal Solid Waste Management Regulations. Do not dispose of chemical waste in standard drains. Coordinate with the licensed hazardous waste disposal contractor for removal.</w:t>
      </w:r>
    </w:p>
    <w:bookmarkEnd w:id="32"/>
    <w:bookmarkStart w:id="33" w:name="data-analysis-and-reporting"/>
    <w:p>
      <w:pPr>
        <w:pStyle w:val="Heading2"/>
      </w:pPr>
      <w:r>
        <w:t xml:space="preserve">7. Data Analysis and Reporting</w:t>
      </w:r>
    </w:p>
    <w:p>
      <w:pPr>
        <w:pStyle w:val="FirstParagraph"/>
      </w:pPr>
      <w:r>
        <w:t xml:space="preserve">Upon completion of the experiment, the Chemical Engineer will analyze the data to determine the light-off temperature (T50) and the stability of the catalyst over time. The results will be compiled into a technical report, highlighting the efficiency of the catalyst under high-humidity conditions. This report will serve as a basis for potential scale-up in industrial applications within the Shanghai region, contributing to the city's goals for sustainable chemical manufacturing and air quality improvement.</w:t>
      </w:r>
    </w:p>
    <w:bookmarkEnd w:id="33"/>
    <w:bookmarkStart w:id="34" w:name="signatures"/>
    <w:p>
      <w:pPr>
        <w:pStyle w:val="Heading2"/>
      </w:pPr>
      <w:r>
        <w:t xml:space="preserve">8. Signatures</w:t>
      </w:r>
    </w:p>
    <w:p>
      <w:pPr>
        <w:pStyle w:val="FirstParagraph"/>
      </w:pPr>
      <w:r>
        <w:rPr>
          <w:bCs/>
          <w:b/>
        </w:rPr>
        <w:t xml:space="preserve">Lead Chemical Engineer:</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Safety Officer:</w:t>
      </w:r>
      <w:r>
        <w:t xml:space="preserve"> </w:t>
      </w:r>
      <w:r>
        <w:t xml:space="preserve">__________________________</w:t>
      </w:r>
      <w:r>
        <w:br/>
      </w:r>
      <w:r>
        <w:rPr>
          <w:bCs/>
          <w:b/>
        </w:rPr>
        <w:t xml:space="preserve">Date:</w:t>
      </w:r>
      <w:r>
        <w:t xml:space="preserve"> </w:t>
      </w:r>
      <w:r>
        <w:t xml:space="preserve">__________________________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Conversion in Shanghai</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