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Colombia</w:t>
      </w:r>
      <w:r>
        <w:t xml:space="preserve"> </w:t>
      </w:r>
      <w:r>
        <w:t xml:space="preserve">Bogotá</w:t>
      </w:r>
    </w:p>
    <w:bookmarkStart w:id="32" w:name="X8a6f871cb76a02b76d7595ceb82758d29e62089"/>
    <w:p>
      <w:pPr>
        <w:pStyle w:val="Heading1"/>
      </w:pPr>
      <w:r>
        <w:t xml:space="preserve">Experiment Protocol: Optimization of Wastewater Treatment Processes</w:t>
      </w:r>
    </w:p>
    <w:p>
      <w:pPr>
        <w:pStyle w:val="FirstParagraph"/>
      </w:pPr>
      <w:r>
        <w:rPr>
          <w:bCs/>
          <w:b/>
        </w:rPr>
        <w:t xml:space="preserve">Location:</w:t>
      </w:r>
      <w:r>
        <w:t xml:space="preserve"> </w:t>
      </w:r>
      <w:r>
        <w:t xml:space="preserve">Bogotá, Colombia</w:t>
      </w:r>
    </w:p>
    <w:p>
      <w:pPr>
        <w:pStyle w:val="BodyText"/>
      </w:pPr>
      <w:r>
        <w:rPr>
          <w:bCs/>
          <w:b/>
        </w:rPr>
        <w:t xml:space="preserve">Discipline:</w:t>
      </w:r>
      <w:r>
        <w:t xml:space="preserve"> </w:t>
      </w:r>
      <w:r>
        <w:t xml:space="preserve">Chemical Engineering</w:t>
      </w:r>
    </w:p>
    <w:p>
      <w:pPr>
        <w:pStyle w:val="BodyText"/>
      </w:pPr>
      <w:r>
        <w:rPr>
          <w:bCs/>
          <w:b/>
        </w:rPr>
        <w:t xml:space="preserve">Document Type:</w:t>
      </w:r>
      <w:r>
        <w:t xml:space="preserve"> </w:t>
      </w:r>
      <w:r>
        <w:t xml:space="preserve">Experiment Protocol</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context"/>
    <w:p>
      <w:pPr>
        <w:pStyle w:val="Heading2"/>
      </w:pPr>
      <w:r>
        <w:t xml:space="preserve">1. Introduction and Context</w:t>
      </w:r>
    </w:p>
    <w:p>
      <w:pPr>
        <w:pStyle w:val="FirstParagraph"/>
      </w:pPr>
      <w:r>
        <w:t xml:space="preserve">This Experiment Protocol is designed for a Chemical Engineer operating within the industrial and academic landscape of Bogotá, Colombia. Given Bogotá's status as a major industrial hub in the Andean region, the management of industrial effluents is a critical priority. This protocol outlines the methodology for testing a novel coagulation-flocculation process aimed at reducing heavy metal concentrations in wastewater, specifically targeting lead and cadmium, which are common contaminants in the local manufacturing sector.</w:t>
      </w:r>
    </w:p>
    <w:p>
      <w:pPr>
        <w:pStyle w:val="BodyText"/>
      </w:pPr>
      <w:r>
        <w:t xml:space="preserve">The protocol adheres to the technical standards expected of a professional Chemical Engineer in Colombia, ensuring compliance with local environmental regulations and safety norms.</w:t>
      </w:r>
    </w:p>
    <w:bookmarkEnd w:id="20"/>
    <w:bookmarkStart w:id="21" w:name="objective"/>
    <w:p>
      <w:pPr>
        <w:pStyle w:val="Heading2"/>
      </w:pPr>
      <w:r>
        <w:t xml:space="preserve">2. Objective</w:t>
      </w:r>
    </w:p>
    <w:p>
      <w:pPr>
        <w:pStyle w:val="FirstParagraph"/>
      </w:pPr>
      <w:r>
        <w:t xml:space="preserve">The primary objective of this experiment is to evaluate the efficiency of a locally sourced, low-cost coagulant derived from agricultural waste (specifically coffee husks, abundant in Colombia) compared to traditional aluminum sulfate. The Chemical Engineer will determine the optimal dosage and pH conditions required to meet the discharge limits established by the</w:t>
      </w:r>
      <w:r>
        <w:t xml:space="preserve"> </w:t>
      </w:r>
      <w:r>
        <w:rPr>
          <w:iCs/>
          <w:i/>
        </w:rPr>
        <w:t xml:space="preserve">Secretaría Distrital de Ambiente</w:t>
      </w:r>
      <w:r>
        <w:t xml:space="preserve"> </w:t>
      </w:r>
      <w:r>
        <w:t xml:space="preserve">(SDA) of Bogotá.</w:t>
      </w:r>
    </w:p>
    <w:bookmarkEnd w:id="21"/>
    <w:bookmarkStart w:id="22" w:name="regulatory-compliance-and-standards"/>
    <w:p>
      <w:pPr>
        <w:pStyle w:val="Heading2"/>
      </w:pPr>
      <w:r>
        <w:t xml:space="preserve">3. Regulatory Compliance and Standards</w:t>
      </w:r>
    </w:p>
    <w:p>
      <w:pPr>
        <w:pStyle w:val="FirstParagraph"/>
      </w:pPr>
      <w:r>
        <w:t xml:space="preserve">As this experiment is conducted in Bogotá, the Chemical Engineer must ensure strict adherence to the following Colombian regulations:</w:t>
      </w:r>
    </w:p>
    <w:p>
      <w:pPr>
        <w:numPr>
          <w:ilvl w:val="0"/>
          <w:numId w:val="1001"/>
        </w:numPr>
        <w:pStyle w:val="Compact"/>
      </w:pPr>
      <w:r>
        <w:rPr>
          <w:bCs/>
          <w:b/>
        </w:rPr>
        <w:t xml:space="preserve">Resolution 631 of 2015:</w:t>
      </w:r>
      <w:r>
        <w:t xml:space="preserve"> </w:t>
      </w:r>
      <w:r>
        <w:t xml:space="preserve">Establishes the technical, environmental, and administrative requirements for the discharge of wastewater into public sewage systems or water bodies.</w:t>
      </w:r>
    </w:p>
    <w:p>
      <w:pPr>
        <w:numPr>
          <w:ilvl w:val="0"/>
          <w:numId w:val="1001"/>
        </w:numPr>
        <w:pStyle w:val="Compact"/>
      </w:pPr>
      <w:r>
        <w:rPr>
          <w:bCs/>
          <w:b/>
        </w:rPr>
        <w:t xml:space="preserve">Resolution 1364 of 2013:</w:t>
      </w:r>
      <w:r>
        <w:t xml:space="preserve"> </w:t>
      </w:r>
      <w:r>
        <w:t xml:space="preserve">Regulates the management of hazardous waste generated during the experiment.</w:t>
      </w:r>
    </w:p>
    <w:p>
      <w:pPr>
        <w:numPr>
          <w:ilvl w:val="0"/>
          <w:numId w:val="1001"/>
        </w:numPr>
        <w:pStyle w:val="Compact"/>
      </w:pPr>
      <w:r>
        <w:rPr>
          <w:bCs/>
          <w:b/>
        </w:rPr>
        <w:t xml:space="preserve">Colombian Technical Standards (NTC):</w:t>
      </w:r>
      <w:r>
        <w:t xml:space="preserve"> </w:t>
      </w:r>
      <w:r>
        <w:t xml:space="preserve">Relevant standards for water quality analysis.</w:t>
      </w:r>
    </w:p>
    <w:bookmarkEnd w:id="22"/>
    <w:bookmarkStart w:id="23" w:name="materials-and-equipment"/>
    <w:p>
      <w:pPr>
        <w:pStyle w:val="Heading2"/>
      </w:pPr>
      <w:r>
        <w:t xml:space="preserve">4. Materials and Equipment</w:t>
      </w:r>
    </w:p>
    <w:p>
      <w:pPr>
        <w:pStyle w:val="FirstParagraph"/>
      </w:pPr>
      <w:r>
        <w:t xml:space="preserve">The Chemical Engineer must prepare the following materials, ensuring they are sourced from certified suppliers in Bogotá or the surrounding Cundinamarca region: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Wastewater Samples</w:t>
            </w:r>
          </w:p>
        </w:tc>
        <w:tc>
          <w:tcPr/>
          <w:p>
            <w:pPr>
              <w:pStyle w:val="Compact"/>
              <w:jc w:val="left"/>
            </w:pPr>
            <w:r>
              <w:t xml:space="preserve">Collected from a local textile or metalworking plant in Bogotá</w:t>
            </w:r>
          </w:p>
        </w:tc>
        <w:tc>
          <w:tcPr/>
          <w:p>
            <w:pPr>
              <w:pStyle w:val="Compact"/>
              <w:jc w:val="left"/>
            </w:pPr>
            <w:r>
              <w:t xml:space="preserve">10 Liters</w:t>
            </w:r>
          </w:p>
        </w:tc>
      </w:tr>
      <w:tr>
        <w:tc>
          <w:tcPr/>
          <w:p>
            <w:pPr>
              <w:pStyle w:val="Compact"/>
              <w:jc w:val="left"/>
            </w:pPr>
            <w:r>
              <w:t xml:space="preserve">Coagulant A</w:t>
            </w:r>
          </w:p>
        </w:tc>
        <w:tc>
          <w:tcPr/>
          <w:p>
            <w:pPr>
              <w:pStyle w:val="Compact"/>
              <w:jc w:val="left"/>
            </w:pPr>
            <w:r>
              <w:t xml:space="preserve">Aluminum Sulfate (Alum)</w:t>
            </w:r>
          </w:p>
        </w:tc>
        <w:tc>
          <w:tcPr/>
          <w:p>
            <w:pPr>
              <w:pStyle w:val="Compact"/>
              <w:jc w:val="left"/>
            </w:pPr>
            <w:r>
              <w:t xml:space="preserve">500 g</w:t>
            </w:r>
          </w:p>
        </w:tc>
      </w:tr>
      <w:tr>
        <w:tc>
          <w:tcPr/>
          <w:p>
            <w:pPr>
              <w:pStyle w:val="Compact"/>
              <w:jc w:val="left"/>
            </w:pPr>
            <w:r>
              <w:t xml:space="preserve">Coagulant B</w:t>
            </w:r>
          </w:p>
        </w:tc>
        <w:tc>
          <w:tcPr/>
          <w:p>
            <w:pPr>
              <w:pStyle w:val="Compact"/>
              <w:jc w:val="left"/>
            </w:pPr>
            <w:r>
              <w:t xml:space="preserve">Extracted Polyphenols from Coffee Husks</w:t>
            </w:r>
          </w:p>
        </w:tc>
        <w:tc>
          <w:tcPr/>
          <w:p>
            <w:pPr>
              <w:pStyle w:val="Compact"/>
              <w:jc w:val="left"/>
            </w:pPr>
            <w:r>
              <w:t xml:space="preserve">500 g</w:t>
            </w:r>
          </w:p>
        </w:tc>
      </w:tr>
      <w:tr>
        <w:tc>
          <w:tcPr/>
          <w:p>
            <w:pPr>
              <w:pStyle w:val="Compact"/>
              <w:jc w:val="left"/>
            </w:pPr>
            <w:r>
              <w:t xml:space="preserve">Jar Test Apparatus</w:t>
            </w:r>
          </w:p>
        </w:tc>
        <w:tc>
          <w:tcPr/>
          <w:p>
            <w:pPr>
              <w:pStyle w:val="Compact"/>
              <w:jc w:val="left"/>
            </w:pPr>
            <w:r>
              <w:t xml:space="preserve">6-beam stirrer with variable speed control</w:t>
            </w:r>
          </w:p>
        </w:tc>
        <w:tc>
          <w:tcPr/>
          <w:p>
            <w:pPr>
              <w:pStyle w:val="Compact"/>
              <w:jc w:val="left"/>
            </w:pPr>
            <w:r>
              <w:t xml:space="preserve">1 Unit</w:t>
            </w:r>
          </w:p>
        </w:tc>
      </w:tr>
      <w:tr>
        <w:tc>
          <w:tcPr/>
          <w:p>
            <w:pPr>
              <w:pStyle w:val="Compact"/>
              <w:jc w:val="left"/>
            </w:pPr>
            <w:r>
              <w:t xml:space="preserve">pH Meter</w:t>
            </w:r>
          </w:p>
        </w:tc>
        <w:tc>
          <w:tcPr/>
          <w:p>
            <w:pPr>
              <w:pStyle w:val="Compact"/>
              <w:jc w:val="left"/>
            </w:pPr>
            <w:r>
              <w:t xml:space="preserve">Calibrated digital pH meter</w:t>
            </w:r>
          </w:p>
        </w:tc>
        <w:tc>
          <w:tcPr/>
          <w:p>
            <w:pPr>
              <w:pStyle w:val="Compact"/>
              <w:jc w:val="left"/>
            </w:pPr>
            <w:r>
              <w:t xml:space="preserve">1 Unit</w:t>
            </w:r>
          </w:p>
        </w:tc>
      </w:tr>
      <w:tr>
        <w:tc>
          <w:tcPr/>
          <w:p>
            <w:pPr>
              <w:pStyle w:val="Compact"/>
              <w:jc w:val="left"/>
            </w:pPr>
            <w:r>
              <w:t xml:space="preserve">Atomic Absorption Spectrophotometer</w:t>
            </w:r>
          </w:p>
        </w:tc>
        <w:tc>
          <w:tcPr/>
          <w:p>
            <w:pPr>
              <w:pStyle w:val="Compact"/>
              <w:jc w:val="left"/>
            </w:pPr>
            <w:r>
              <w:t xml:space="preserve">For heavy metal analysis</w:t>
            </w:r>
          </w:p>
        </w:tc>
        <w:tc>
          <w:tcPr/>
          <w:p>
            <w:pPr>
              <w:pStyle w:val="Compact"/>
              <w:jc w:val="left"/>
            </w:pPr>
            <w:r>
              <w:t xml:space="preserve">1 Unit</w:t>
            </w:r>
          </w:p>
        </w:tc>
      </w:tr>
    </w:tbl>
    <w:bookmarkEnd w:id="23"/>
    <w:bookmarkStart w:id="24" w:name="safety-protocols"/>
    <w:p>
      <w:pPr>
        <w:pStyle w:val="Heading2"/>
      </w:pPr>
      <w:r>
        <w:t xml:space="preserve">5. Safety Protocols</w:t>
      </w:r>
    </w:p>
    <w:p>
      <w:pPr>
        <w:pStyle w:val="FirstParagraph"/>
      </w:pPr>
      <w:r>
        <w:t xml:space="preserve">Safety is paramount for the Chemical Engineer. The following Personal Protective Equipment (PPE) is mandatory:</w:t>
      </w:r>
    </w:p>
    <w:p>
      <w:pPr>
        <w:numPr>
          <w:ilvl w:val="0"/>
          <w:numId w:val="1002"/>
        </w:numPr>
        <w:pStyle w:val="Compact"/>
      </w:pPr>
      <w:r>
        <w:t xml:space="preserve">Safety goggles and face shield.</w:t>
      </w:r>
    </w:p>
    <w:p>
      <w:pPr>
        <w:numPr>
          <w:ilvl w:val="0"/>
          <w:numId w:val="1002"/>
        </w:numPr>
        <w:pStyle w:val="Compact"/>
      </w:pPr>
      <w:r>
        <w:t xml:space="preserve">Nitrile gloves resistant to chemical permeation.</w:t>
      </w:r>
    </w:p>
    <w:p>
      <w:pPr>
        <w:numPr>
          <w:ilvl w:val="0"/>
          <w:numId w:val="1002"/>
        </w:numPr>
        <w:pStyle w:val="Compact"/>
      </w:pPr>
      <w:r>
        <w:t xml:space="preserve">Lab coat made of flame-retardant material.</w:t>
      </w:r>
    </w:p>
    <w:p>
      <w:pPr>
        <w:numPr>
          <w:ilvl w:val="0"/>
          <w:numId w:val="1002"/>
        </w:numPr>
        <w:pStyle w:val="Compact"/>
      </w:pPr>
      <w:r>
        <w:t xml:space="preserve">Closed-toe shoes.</w:t>
      </w:r>
    </w:p>
    <w:p>
      <w:pPr>
        <w:pStyle w:val="FirstParagraph"/>
      </w:pPr>
      <w:r>
        <w:rPr>
          <w:bCs/>
          <w:b/>
        </w:rPr>
        <w:t xml:space="preserve">Warning:</w:t>
      </w:r>
      <w:r>
        <w:t xml:space="preserve"> </w:t>
      </w:r>
      <w:r>
        <w:t xml:space="preserve">In the event of a spill, the Chemical Engineer must immediately utilize the spill kit available in the Bogotá laboratory and report the incident according to the internal safety management system.</w:t>
      </w:r>
    </w:p>
    <w:bookmarkEnd w:id="24"/>
    <w:bookmarkStart w:id="28" w:name="experimental-procedure"/>
    <w:p>
      <w:pPr>
        <w:pStyle w:val="Heading2"/>
      </w:pPr>
      <w:r>
        <w:t xml:space="preserve">6. Experimental Procedure</w:t>
      </w:r>
    </w:p>
    <w:bookmarkStart w:id="25" w:name="sample-preparation"/>
    <w:p>
      <w:pPr>
        <w:pStyle w:val="Heading3"/>
      </w:pPr>
      <w:r>
        <w:t xml:space="preserve">6.1 Sample Preparation</w:t>
      </w:r>
    </w:p>
    <w:p>
      <w:pPr>
        <w:pStyle w:val="FirstParagraph"/>
      </w:pPr>
      <w:r>
        <w:t xml:space="preserve">The Chemical Engineer shall collect wastewater samples from the designated plant in Bogotá. Samples must be stored in acid-washed polyethylene containers at 4°C to prevent biological degradation prior to analysis. Upon arrival at the laboratory, the samples must be homogenized.</w:t>
      </w:r>
    </w:p>
    <w:bookmarkEnd w:id="25"/>
    <w:bookmarkStart w:id="26" w:name="jar-test-setup"/>
    <w:p>
      <w:pPr>
        <w:pStyle w:val="Heading3"/>
      </w:pPr>
      <w:r>
        <w:t xml:space="preserve">6.2 Jar Test Setup</w:t>
      </w:r>
    </w:p>
    <w:p>
      <w:pPr>
        <w:pStyle w:val="FirstParagraph"/>
      </w:pPr>
      <w:r>
        <w:t xml:space="preserve">Perform a Jar Test to determine the optimal coagulant dosage. The procedure is as follows:</w:t>
      </w:r>
    </w:p>
    <w:p>
      <w:pPr>
        <w:numPr>
          <w:ilvl w:val="0"/>
          <w:numId w:val="1003"/>
        </w:numPr>
        <w:pStyle w:val="Compact"/>
      </w:pPr>
      <w:r>
        <w:t xml:space="preserve">Fill six beakers with 1 liter of the wastewater sample each.</w:t>
      </w:r>
    </w:p>
    <w:p>
      <w:pPr>
        <w:numPr>
          <w:ilvl w:val="0"/>
          <w:numId w:val="1003"/>
        </w:numPr>
        <w:pStyle w:val="Compact"/>
      </w:pPr>
      <w:r>
        <w:t xml:space="preserve">Adjust the pH of each beaker to different levels (5.0, 6.0, 7.0, 8.0, 9.0, 10.0) using dilute HCl or NaOH.</w:t>
      </w:r>
    </w:p>
    <w:p>
      <w:pPr>
        <w:numPr>
          <w:ilvl w:val="0"/>
          <w:numId w:val="1003"/>
        </w:numPr>
        <w:pStyle w:val="Compact"/>
      </w:pPr>
      <w:r>
        <w:t xml:space="preserve">Add varying dosages of Coagulant A and Coagulant B to the beakers according to the experimental matrix.</w:t>
      </w:r>
    </w:p>
    <w:p>
      <w:pPr>
        <w:numPr>
          <w:ilvl w:val="0"/>
          <w:numId w:val="1003"/>
        </w:numPr>
        <w:pStyle w:val="Compact"/>
      </w:pPr>
      <w:r>
        <w:t xml:space="preserve">Initiate rapid mixing at 150 rpm for 2 minutes to ensure dispersion.</w:t>
      </w:r>
    </w:p>
    <w:p>
      <w:pPr>
        <w:numPr>
          <w:ilvl w:val="0"/>
          <w:numId w:val="1003"/>
        </w:numPr>
        <w:pStyle w:val="Compact"/>
      </w:pPr>
      <w:r>
        <w:t xml:space="preserve">Reduce speed to 40 rpm for 15 minutes to allow floc formation.</w:t>
      </w:r>
    </w:p>
    <w:p>
      <w:pPr>
        <w:numPr>
          <w:ilvl w:val="0"/>
          <w:numId w:val="1003"/>
        </w:numPr>
        <w:pStyle w:val="Compact"/>
      </w:pPr>
      <w:r>
        <w:t xml:space="preserve">Allow the beakers to settle for 30 minutes.</w:t>
      </w:r>
    </w:p>
    <w:bookmarkEnd w:id="26"/>
    <w:bookmarkStart w:id="27" w:name="data-collection"/>
    <w:p>
      <w:pPr>
        <w:pStyle w:val="Heading3"/>
      </w:pPr>
      <w:r>
        <w:t xml:space="preserve">6.3 Data Collection</w:t>
      </w:r>
    </w:p>
    <w:p>
      <w:pPr>
        <w:pStyle w:val="FirstParagraph"/>
      </w:pPr>
      <w:r>
        <w:t xml:space="preserve">After the settling period, the Chemical Engineer must carefully collect supernatant samples from each beaker using a pipette, avoiding the sludge layer. The samples will be analyzed for:</w:t>
      </w:r>
    </w:p>
    <w:p>
      <w:pPr>
        <w:numPr>
          <w:ilvl w:val="0"/>
          <w:numId w:val="1004"/>
        </w:numPr>
        <w:pStyle w:val="Compact"/>
      </w:pPr>
      <w:r>
        <w:t xml:space="preserve">Turbidity (NTU)</w:t>
      </w:r>
    </w:p>
    <w:p>
      <w:pPr>
        <w:numPr>
          <w:ilvl w:val="0"/>
          <w:numId w:val="1004"/>
        </w:numPr>
        <w:pStyle w:val="Compact"/>
      </w:pPr>
      <w:r>
        <w:t xml:space="preserve">pH</w:t>
      </w:r>
    </w:p>
    <w:p>
      <w:pPr>
        <w:numPr>
          <w:ilvl w:val="0"/>
          <w:numId w:val="1004"/>
        </w:numPr>
        <w:pStyle w:val="Compact"/>
      </w:pPr>
      <w:r>
        <w:t xml:space="preserve">Concentration of Lead (Pb) and Cadmium (Cd) using Atomic Absorption Spectroscopy.</w:t>
      </w:r>
    </w:p>
    <w:bookmarkEnd w:id="27"/>
    <w:bookmarkEnd w:id="28"/>
    <w:bookmarkStart w:id="29" w:name="data-analysis"/>
    <w:p>
      <w:pPr>
        <w:pStyle w:val="Heading2"/>
      </w:pPr>
      <w:r>
        <w:t xml:space="preserve">7. Data Analysis</w:t>
      </w:r>
    </w:p>
    <w:p>
      <w:pPr>
        <w:pStyle w:val="FirstParagraph"/>
      </w:pPr>
      <w:r>
        <w:t xml:space="preserve">The Chemical Engineer will analyze the data to determine the removal efficiency of heavy metals for each condition. The results will be compared against the limits set by Resolution 631 of 2015. Statistical analysis should be performed to validate the significance of the results, ensuring that the proposed method is viable for implementation in Bogotá's industrial sector.</w:t>
      </w:r>
    </w:p>
    <w:bookmarkEnd w:id="29"/>
    <w:bookmarkStart w:id="30" w:name="waste-disposal"/>
    <w:p>
      <w:pPr>
        <w:pStyle w:val="Heading2"/>
      </w:pPr>
      <w:r>
        <w:t xml:space="preserve">8. Waste Disposal</w:t>
      </w:r>
    </w:p>
    <w:p>
      <w:pPr>
        <w:pStyle w:val="FirstParagraph"/>
      </w:pPr>
      <w:r>
        <w:t xml:space="preserve">All chemical waste generated during this experiment must be segregated according to its hazard class. The sludge produced from the coagulation process, if classified as hazardous, must be disposed of through an authorized waste management company in Bogotá, in compliance with Resolution 1364 of 2013. Documentation of waste disposal must be retained for regulatory audits.</w:t>
      </w:r>
    </w:p>
    <w:bookmarkEnd w:id="30"/>
    <w:bookmarkStart w:id="31" w:name="conclusion-and-reporting"/>
    <w:p>
      <w:pPr>
        <w:pStyle w:val="Heading2"/>
      </w:pPr>
      <w:r>
        <w:t xml:space="preserve">9. Conclusion and Reporting</w:t>
      </w:r>
    </w:p>
    <w:p>
      <w:pPr>
        <w:pStyle w:val="FirstParagraph"/>
      </w:pPr>
      <w:r>
        <w:t xml:space="preserve">Upon completion of the experiment, the Chemical Engineer must compile a comprehensive report detailing the methodology, results, and conclusions. This report will serve as a technical basis for potential scale-up of the wastewater treatment process in industrial facilities located in Bogotá, Colombia, contributing to sustainable environmental practices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Colombia Bogotá</dc:title>
  <dc:creator/>
  <dc:language>en</dc:language>
  <cp:keywords/>
  <dcterms:created xsi:type="dcterms:W3CDTF">2026-10-10T06:27:34Z</dcterms:created>
  <dcterms:modified xsi:type="dcterms:W3CDTF">2026-10-10T06:27:34Z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