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Water</w:t>
      </w:r>
      <w:r>
        <w:t xml:space="preserve"> </w:t>
      </w:r>
      <w:r>
        <w:t xml:space="preserve">Purification</w:t>
      </w:r>
      <w:r>
        <w:t xml:space="preserve"> </w:t>
      </w:r>
      <w:r>
        <w:t xml:space="preserve">via</w:t>
      </w:r>
      <w:r>
        <w:t xml:space="preserve"> </w:t>
      </w:r>
      <w:r>
        <w:t xml:space="preserve">Local</w:t>
      </w:r>
      <w:r>
        <w:t xml:space="preserve"> </w:t>
      </w:r>
      <w:r>
        <w:t xml:space="preserve">Adsorbents</w:t>
      </w:r>
    </w:p>
    <w:bookmarkStart w:id="20" w:name="X2f33bfcdccc8b9a06fe77a8e2ead9b4a6579d16"/>
    <w:p>
      <w:pPr>
        <w:pStyle w:val="Heading1"/>
      </w:pPr>
      <w:r>
        <w:t xml:space="preserve">Experiment Protocol: Optimization of Low-Cost Water Purification Using Activated Carbon Derived from Agricultural Waste</w:t>
      </w:r>
    </w:p>
    <w:p>
      <w:pPr>
        <w:pStyle w:val="FirstParagraph"/>
      </w:pPr>
      <w:r>
        <w:rPr>
          <w:bCs/>
          <w:b/>
        </w:rPr>
        <w:t xml:space="preserve">Location:</w:t>
      </w:r>
      <w:r>
        <w:t xml:space="preserve"> </w:t>
      </w:r>
      <w:r>
        <w:t xml:space="preserve">University of Kinshasa (UNIKIN), Faculty of Sciences, Department of Chemistry, Kinshasa, DR Congo.</w:t>
      </w:r>
    </w:p>
    <w:p>
      <w:pPr>
        <w:pStyle w:val="BodyText"/>
      </w:pPr>
      <w:r>
        <w:rPr>
          <w:bCs/>
          <w:b/>
        </w:rPr>
        <w:t xml:space="preserve">Role:</w:t>
      </w:r>
      <w:r>
        <w:t xml:space="preserve"> </w:t>
      </w:r>
      <w:r>
        <w:t xml:space="preserve">Chemical Engineer (Lead Researcher).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KIN-CE-WP-2023-004.</w:t>
      </w:r>
    </w:p>
    <w:bookmarkEnd w:id="20"/>
    <w:bookmarkStart w:id="21" w:name="introduction-and-context"/>
    <w:p>
      <w:pPr>
        <w:pStyle w:val="Heading2"/>
      </w:pPr>
      <w:r>
        <w:t xml:space="preserve">1. Introduction and Context</w:t>
      </w:r>
    </w:p>
    <w:p>
      <w:pPr>
        <w:pStyle w:val="FirstParagraph"/>
      </w:pPr>
      <w:r>
        <w:t xml:space="preserve">Access to clean drinking water remains a critical challenge in the Democratic Republic of Congo (DRC), particularly in the urban sprawl of Kinshasa. Rapid urbanization has outpaced infrastructure development, leading to significant contamination of the Congo River and local groundwater sources with heavy metals, pathogens, and organic pollutants. As a Chemical Engineer operating in this region, the objective is not merely theoretical research but the development of scalable, sustainable, and economically viable solutions using locally available resources.</w:t>
      </w:r>
    </w:p>
    <w:p>
      <w:pPr>
        <w:pStyle w:val="BodyText"/>
      </w:pPr>
      <w:r>
        <w:t xml:space="preserve">This Experiment Protocol outlines the procedure for synthesizing activated carbon from agricultural waste (specifically cassava peels and coconut shells, abundant in the region) and testing its efficacy in removing lead (Pb) and turbidity from water samples collected from the Matonge district. This approach aligns with the principles of green chemistry and circular economy, reducing waste while addressing public health crises.</w:t>
      </w:r>
    </w:p>
    <w:bookmarkEnd w:id="21"/>
    <w:bookmarkStart w:id="22" w:name="objectives"/>
    <w:p>
      <w:pPr>
        <w:pStyle w:val="Heading2"/>
      </w:pPr>
      <w:r>
        <w:t xml:space="preserve">2. Objectives</w:t>
      </w:r>
    </w:p>
    <w:p>
      <w:pPr>
        <w:numPr>
          <w:ilvl w:val="0"/>
          <w:numId w:val="1001"/>
        </w:numPr>
        <w:pStyle w:val="Compact"/>
      </w:pPr>
      <w:r>
        <w:t xml:space="preserve">To produce high-surface-area activated carbon using a chemical activation method (using Phosphoric Acid, H3PO4) suitable for local industrial scaling.</w:t>
      </w:r>
    </w:p>
    <w:p>
      <w:pPr>
        <w:numPr>
          <w:ilvl w:val="0"/>
          <w:numId w:val="1001"/>
        </w:numPr>
        <w:pStyle w:val="Compact"/>
      </w:pPr>
      <w:r>
        <w:t xml:space="preserve">To evaluate the adsorption capacity of the synthesized carbon against lead ions (Pb2+) and suspended solids in water samples representative of Kinshasa's supply.</w:t>
      </w:r>
    </w:p>
    <w:p>
      <w:pPr>
        <w:numPr>
          <w:ilvl w:val="0"/>
          <w:numId w:val="1001"/>
        </w:numPr>
        <w:pStyle w:val="Compact"/>
      </w:pPr>
      <w:r>
        <w:t xml:space="preserve">To determine the optimal pH, contact time, and adsorbent dosage for maximum efficiency under ambient temperature conditions.</w:t>
      </w:r>
    </w:p>
    <w:bookmarkEnd w:id="22"/>
    <w:bookmarkStart w:id="23" w:name="safety-and-environmental-considerations"/>
    <w:p>
      <w:pPr>
        <w:pStyle w:val="Heading2"/>
      </w:pPr>
      <w:r>
        <w:t xml:space="preserve">3. Safety and Environmental Considerations</w:t>
      </w:r>
    </w:p>
    <w:p>
      <w:pPr>
        <w:pStyle w:val="FirstParagraph"/>
      </w:pPr>
      <w:r>
        <w:rPr>
          <w:bCs/>
          <w:b/>
        </w:rPr>
        <w:t xml:space="preserve">CRITICAL SAFETY WARNING:</w:t>
      </w:r>
      <w:r>
        <w:t xml:space="preserve"> </w:t>
      </w:r>
      <w:r>
        <w:t xml:space="preserve">This experiment involves hazardous chemicals and high temperatures. All personnel must adhere to strict safety protocols.</w:t>
      </w:r>
    </w:p>
    <w:p>
      <w:pPr>
        <w:pStyle w:val="BodyText"/>
      </w:pPr>
      <w:r>
        <w:t xml:space="preserve">Given the resource constraints often found in laboratories in Kinshasa, improvisation must never compromise safety.</w:t>
      </w:r>
    </w:p>
    <w:p>
      <w:pPr>
        <w:numPr>
          <w:ilvl w:val="0"/>
          <w:numId w:val="1002"/>
        </w:numPr>
        <w:pStyle w:val="Compact"/>
      </w:pPr>
      <w:r>
        <w:rPr>
          <w:bCs/>
          <w:b/>
        </w:rPr>
        <w:t xml:space="preserve">Personal Protective Equipment (PPE):</w:t>
      </w:r>
      <w:r>
        <w:t xml:space="preserve"> </w:t>
      </w:r>
      <w:r>
        <w:t xml:space="preserve">Lab coats, nitrile gloves, safety goggles, and closed-toe shoes are mandatory. Respiratory protection is required during the carbonization phase due to volatile organic compound emissions.</w:t>
      </w:r>
    </w:p>
    <w:p>
      <w:pPr>
        <w:numPr>
          <w:ilvl w:val="0"/>
          <w:numId w:val="1002"/>
        </w:numPr>
        <w:pStyle w:val="Compact"/>
      </w:pPr>
      <w:r>
        <w:rPr>
          <w:bCs/>
          <w:b/>
        </w:rPr>
        <w:t xml:space="preserve">Chemical Handling:</w:t>
      </w:r>
      <w:r>
        <w:t xml:space="preserve"> </w:t>
      </w:r>
      <w:r>
        <w:t xml:space="preserve">Phosphoric acid is corrosive. In case of skin contact, rinse immediately with copious amounts of water. Neutralize spills with sodium bicarbonate.</w:t>
      </w:r>
    </w:p>
    <w:p>
      <w:pPr>
        <w:numPr>
          <w:ilvl w:val="0"/>
          <w:numId w:val="1002"/>
        </w:numPr>
        <w:pStyle w:val="Compact"/>
      </w:pPr>
      <w:r>
        <w:rPr>
          <w:bCs/>
          <w:b/>
        </w:rPr>
        <w:t xml:space="preserve">Ventilation:</w:t>
      </w:r>
      <w:r>
        <w:t xml:space="preserve"> </w:t>
      </w:r>
      <w:r>
        <w:t xml:space="preserve">The carbonization furnace must be connected to a fume hood or an external exhaust system to prevent the accumulation of toxic gases (CO, CO2, and organic vapors).</w:t>
      </w:r>
    </w:p>
    <w:p>
      <w:pPr>
        <w:numPr>
          <w:ilvl w:val="0"/>
          <w:numId w:val="1002"/>
        </w:numPr>
        <w:pStyle w:val="Compact"/>
      </w:pPr>
      <w:r>
        <w:rPr>
          <w:bCs/>
          <w:b/>
        </w:rPr>
        <w:t xml:space="preserve">Waste Disposal:</w:t>
      </w:r>
      <w:r>
        <w:t xml:space="preserve"> </w:t>
      </w:r>
      <w:r>
        <w:t xml:space="preserve">Heavy metal-laden water must be treated before disposal to prevent further contamination of the local ecosystem. Solid waste must be segregated.</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Specification/Source</w:t>
            </w:r>
          </w:p>
        </w:tc>
      </w:tr>
      <w:tr>
        <w:tc>
          <w:tcPr/>
          <w:p>
            <w:pPr>
              <w:pStyle w:val="Compact"/>
              <w:jc w:val="left"/>
            </w:pPr>
            <w:r>
              <w:t xml:space="preserve">Raw Biomass</w:t>
            </w:r>
          </w:p>
        </w:tc>
        <w:tc>
          <w:tcPr/>
          <w:p>
            <w:pPr>
              <w:pStyle w:val="Compact"/>
              <w:jc w:val="left"/>
            </w:pPr>
            <w:r>
              <w:t xml:space="preserve">Dried cassava peels and coconut shells (sourced from local markets in Kinshasa).</w:t>
            </w:r>
          </w:p>
        </w:tc>
      </w:tr>
      <w:tr>
        <w:tc>
          <w:tcPr/>
          <w:p>
            <w:pPr>
              <w:pStyle w:val="Compact"/>
              <w:jc w:val="left"/>
            </w:pPr>
            <w:r>
              <w:t xml:space="preserve">Activating Agent</w:t>
            </w:r>
          </w:p>
        </w:tc>
        <w:tc>
          <w:tcPr/>
          <w:p>
            <w:pPr>
              <w:pStyle w:val="Compact"/>
              <w:jc w:val="left"/>
            </w:pPr>
            <w:r>
              <w:t xml:space="preserve">Phosphoric Acid (H3PO4), 85% concentration.</w:t>
            </w:r>
          </w:p>
        </w:tc>
      </w:tr>
      <w:tr>
        <w:tc>
          <w:tcPr/>
          <w:p>
            <w:pPr>
              <w:pStyle w:val="Compact"/>
              <w:jc w:val="left"/>
            </w:pPr>
            <w:r>
              <w:t xml:space="preserve">Water Samples</w:t>
            </w:r>
          </w:p>
        </w:tc>
        <w:tc>
          <w:tcPr/>
          <w:p>
            <w:pPr>
              <w:pStyle w:val="Compact"/>
              <w:jc w:val="left"/>
            </w:pPr>
            <w:r>
              <w:t xml:space="preserve">Raw water from the Congo River (Matonge site) and tap water from UNIKIN.</w:t>
            </w:r>
          </w:p>
        </w:tc>
      </w:tr>
      <w:tr>
        <w:tc>
          <w:tcPr/>
          <w:p>
            <w:pPr>
              <w:pStyle w:val="Compact"/>
              <w:jc w:val="left"/>
            </w:pPr>
            <w:r>
              <w:t xml:space="preserve">Lead Nitrate</w:t>
            </w:r>
          </w:p>
        </w:tc>
        <w:tc>
          <w:tcPr/>
          <w:p>
            <w:pPr>
              <w:pStyle w:val="Compact"/>
              <w:jc w:val="left"/>
            </w:pPr>
            <w:r>
              <w:t xml:space="preserve">For spiking samples to standardized concentrations (100 mg/L).</w:t>
            </w:r>
          </w:p>
        </w:tc>
      </w:tr>
      <w:tr>
        <w:tc>
          <w:tcPr/>
          <w:p>
            <w:pPr>
              <w:pStyle w:val="Compact"/>
              <w:jc w:val="left"/>
            </w:pPr>
            <w:r>
              <w:t xml:space="preserve">Furnace</w:t>
            </w:r>
          </w:p>
        </w:tc>
        <w:tc>
          <w:tcPr/>
          <w:p>
            <w:pPr>
              <w:pStyle w:val="Compact"/>
              <w:jc w:val="left"/>
            </w:pPr>
            <w:r>
              <w:t xml:space="preserve">Muffle furnace capable of reaching 600°C.</w:t>
            </w:r>
          </w:p>
        </w:tc>
      </w:tr>
      <w:tr>
        <w:tc>
          <w:tcPr/>
          <w:p>
            <w:pPr>
              <w:pStyle w:val="Compact"/>
              <w:jc w:val="left"/>
            </w:pPr>
            <w:r>
              <w:t xml:space="preserve">Shaker</w:t>
            </w:r>
          </w:p>
        </w:tc>
        <w:tc>
          <w:tcPr/>
          <w:p>
            <w:pPr>
              <w:pStyle w:val="Compact"/>
              <w:jc w:val="left"/>
            </w:pPr>
            <w:r>
              <w:t xml:space="preserve">Orbital shaker for batch adsorption tests.</w:t>
            </w:r>
          </w:p>
        </w:tc>
      </w:tr>
      <w:tr>
        <w:tc>
          <w:tcPr/>
          <w:p>
            <w:pPr>
              <w:pStyle w:val="Compact"/>
              <w:jc w:val="left"/>
            </w:pPr>
            <w:r>
              <w:t xml:space="preserve">Analysis Tools</w:t>
            </w:r>
          </w:p>
        </w:tc>
        <w:tc>
          <w:tcPr/>
          <w:p>
            <w:pPr>
              <w:pStyle w:val="Compact"/>
              <w:jc w:val="left"/>
            </w:pPr>
            <w:r>
              <w:t xml:space="preserve">pH meter, Turbidity meter, Atomic Absorption Spectrophotometer (AAS).</w:t>
            </w:r>
          </w:p>
        </w:tc>
      </w:tr>
    </w:tbl>
    <w:bookmarkEnd w:id="24"/>
    <w:bookmarkStart w:id="28" w:name="experimental-procedure"/>
    <w:p>
      <w:pPr>
        <w:pStyle w:val="Heading2"/>
      </w:pPr>
      <w:r>
        <w:t xml:space="preserve">5. Experimental Procedure</w:t>
      </w:r>
    </w:p>
    <w:bookmarkStart w:id="25" w:name="preparation-of-activated-carbon"/>
    <w:p>
      <w:pPr>
        <w:pStyle w:val="Heading3"/>
      </w:pPr>
      <w:r>
        <w:t xml:space="preserve">5.1. Preparation of Activated Carbon</w:t>
      </w:r>
    </w:p>
    <w:p>
      <w:pPr>
        <w:numPr>
          <w:ilvl w:val="0"/>
          <w:numId w:val="1003"/>
        </w:numPr>
        <w:pStyle w:val="Compact"/>
      </w:pPr>
      <w:r>
        <w:rPr>
          <w:bCs/>
          <w:b/>
        </w:rPr>
        <w:t xml:space="preserve">Pre-treatment:</w:t>
      </w:r>
      <w:r>
        <w:t xml:space="preserve"> </w:t>
      </w:r>
      <w:r>
        <w:t xml:space="preserve">Wash the cassava peels and coconut shells thoroughly to remove dust and impurities. Dry them in an oven at 105°C for 24 hours until constant weight is achieved.</w:t>
      </w:r>
    </w:p>
    <w:p>
      <w:pPr>
        <w:numPr>
          <w:ilvl w:val="0"/>
          <w:numId w:val="1003"/>
        </w:numPr>
        <w:pStyle w:val="Compact"/>
      </w:pPr>
      <w:r>
        <w:rPr>
          <w:bCs/>
          <w:b/>
        </w:rPr>
        <w:t xml:space="preserve">Grinding:</w:t>
      </w:r>
      <w:r>
        <w:t xml:space="preserve"> </w:t>
      </w:r>
      <w:r>
        <w:t xml:space="preserve">Crush the dried biomass into a fine powder (particle size between 0.5 mm and 1 mm) using a mechanical grinder.</w:t>
      </w:r>
    </w:p>
    <w:p>
      <w:pPr>
        <w:numPr>
          <w:ilvl w:val="0"/>
          <w:numId w:val="1003"/>
        </w:numPr>
        <w:pStyle w:val="Compact"/>
      </w:pPr>
      <w:r>
        <w:rPr>
          <w:bCs/>
          <w:b/>
        </w:rPr>
        <w:t xml:space="preserve">Impregnation:</w:t>
      </w:r>
      <w:r>
        <w:t xml:space="preserve"> </w:t>
      </w:r>
      <w:r>
        <w:t xml:space="preserve">Mix the biomass powder with Phosphoric Acid (H3PO4) at a ratio of 1:2 (biomass to acid by weight). Stir the mixture for 2 hours to ensure uniform impregnation.</w:t>
      </w:r>
    </w:p>
    <w:p>
      <w:pPr>
        <w:numPr>
          <w:ilvl w:val="0"/>
          <w:numId w:val="1003"/>
        </w:numPr>
        <w:pStyle w:val="Compact"/>
      </w:pPr>
      <w:r>
        <w:rPr>
          <w:bCs/>
          <w:b/>
        </w:rPr>
        <w:t xml:space="preserve">Carbonization:</w:t>
      </w:r>
      <w:r>
        <w:t xml:space="preserve"> </w:t>
      </w:r>
      <w:r>
        <w:t xml:space="preserve">Place the impregnated mixture into a ceramic crucible. Heat in the muffle furnace at 500°C for 2 hours under a nitrogen atmosphere (or limited air flow) to prevent combustion.</w:t>
      </w:r>
    </w:p>
    <w:p>
      <w:pPr>
        <w:numPr>
          <w:ilvl w:val="0"/>
          <w:numId w:val="1003"/>
        </w:numPr>
        <w:pStyle w:val="Compact"/>
      </w:pPr>
      <w:r>
        <w:rPr>
          <w:bCs/>
          <w:b/>
        </w:rPr>
        <w:t xml:space="preserve">Washing and Drying:</w:t>
      </w:r>
      <w:r>
        <w:t xml:space="preserve"> </w:t>
      </w:r>
      <w:r>
        <w:t xml:space="preserve">Cool the product, then wash repeatedly with distilled water until the pH of the wash water is neutral (pH 7). Dry the resulting activated carbon at 105°C for 12 hours.</w:t>
      </w:r>
    </w:p>
    <w:bookmarkEnd w:id="25"/>
    <w:bookmarkStart w:id="26" w:name="batch-adsorption-experiments"/>
    <w:p>
      <w:pPr>
        <w:pStyle w:val="Heading3"/>
      </w:pPr>
      <w:r>
        <w:t xml:space="preserve">5.2. Batch Adsorption Experiments</w:t>
      </w:r>
    </w:p>
    <w:p>
      <w:pPr>
        <w:numPr>
          <w:ilvl w:val="0"/>
          <w:numId w:val="1004"/>
        </w:numPr>
        <w:pStyle w:val="Compact"/>
      </w:pPr>
      <w:r>
        <w:rPr>
          <w:bCs/>
          <w:b/>
        </w:rPr>
        <w:t xml:space="preserve">Sample Preparation:</w:t>
      </w:r>
      <w:r>
        <w:t xml:space="preserve"> </w:t>
      </w:r>
      <w:r>
        <w:t xml:space="preserve">Collect water samples from the designated sites in Kinshasa. Filter large debris. Spike samples with Lead Nitrate to achieve a known concentration of 50 mg/L Pb2+.</w:t>
      </w:r>
    </w:p>
    <w:p>
      <w:pPr>
        <w:numPr>
          <w:ilvl w:val="0"/>
          <w:numId w:val="1004"/>
        </w:numPr>
        <w:pStyle w:val="Compact"/>
      </w:pPr>
      <w:r>
        <w:rPr>
          <w:bCs/>
          <w:b/>
        </w:rPr>
        <w:t xml:space="preserve">Variable Testing:</w:t>
      </w:r>
      <w:r>
        <w:t xml:space="preserve"> </w:t>
      </w:r>
      <w:r>
        <w:t xml:space="preserve">Prepare a series of 250 mL flasks. Add 100 mL of the water sample to each. Vary the mass of activated carbon (0.5g, 1.0g, 1.5g, 2.0g) across the flasks.</w:t>
      </w:r>
    </w:p>
    <w:p>
      <w:pPr>
        <w:numPr>
          <w:ilvl w:val="0"/>
          <w:numId w:val="1004"/>
        </w:numPr>
        <w:pStyle w:val="Compact"/>
      </w:pPr>
      <w:r>
        <w:rPr>
          <w:bCs/>
          <w:b/>
        </w:rPr>
        <w:t xml:space="preserve">pH Adjustment:</w:t>
      </w:r>
      <w:r>
        <w:t xml:space="preserve"> </w:t>
      </w:r>
      <w:r>
        <w:t xml:space="preserve">Adjust the pH of each flask to 5.0 using dilute HCl or NaOH, as this is often optimal for heavy metal adsorption.</w:t>
      </w:r>
    </w:p>
    <w:p>
      <w:pPr>
        <w:numPr>
          <w:ilvl w:val="0"/>
          <w:numId w:val="1004"/>
        </w:numPr>
        <w:pStyle w:val="Compact"/>
      </w:pPr>
      <w:r>
        <w:rPr>
          <w:bCs/>
          <w:b/>
        </w:rPr>
        <w:t xml:space="preserve">Agitation:</w:t>
      </w:r>
      <w:r>
        <w:t xml:space="preserve"> </w:t>
      </w:r>
      <w:r>
        <w:t xml:space="preserve">Place flasks on the orbital shaker at 150 rpm for 60 minutes at room temperature (approx. 27°C).</w:t>
      </w:r>
    </w:p>
    <w:p>
      <w:pPr>
        <w:numPr>
          <w:ilvl w:val="0"/>
          <w:numId w:val="1004"/>
        </w:numPr>
        <w:pStyle w:val="Compact"/>
      </w:pPr>
      <w:r>
        <w:rPr>
          <w:bCs/>
          <w:b/>
        </w:rPr>
        <w:t xml:space="preserve">Filtration:</w:t>
      </w:r>
      <w:r>
        <w:t xml:space="preserve"> </w:t>
      </w:r>
      <w:r>
        <w:t xml:space="preserve">Filter the solutions using Whatman No. 1 filter paper to separate the carbon from the liquid.</w:t>
      </w:r>
    </w:p>
    <w:bookmarkEnd w:id="26"/>
    <w:bookmarkStart w:id="27" w:name="analysis"/>
    <w:p>
      <w:pPr>
        <w:pStyle w:val="Heading3"/>
      </w:pPr>
      <w:r>
        <w:t xml:space="preserve">5.3. Analysis</w:t>
      </w:r>
    </w:p>
    <w:p>
      <w:pPr>
        <w:numPr>
          <w:ilvl w:val="0"/>
          <w:numId w:val="1005"/>
        </w:numPr>
        <w:pStyle w:val="Compact"/>
      </w:pPr>
      <w:r>
        <w:t xml:space="preserve">Measure the residual turbidity of the filtrate using the turbidity meter.</w:t>
      </w:r>
    </w:p>
    <w:p>
      <w:pPr>
        <w:numPr>
          <w:ilvl w:val="0"/>
          <w:numId w:val="1005"/>
        </w:numPr>
        <w:pStyle w:val="Compact"/>
      </w:pPr>
      <w:r>
        <w:t xml:space="preserve">Analyze the concentration of remaining Lead (Pb2+) using the Atomic Absorption Spectrophotometer (AAS).</w:t>
      </w:r>
    </w:p>
    <w:p>
      <w:pPr>
        <w:numPr>
          <w:ilvl w:val="0"/>
          <w:numId w:val="1005"/>
        </w:numPr>
        <w:pStyle w:val="Compact"/>
      </w:pPr>
      <w:r>
        <w:t xml:space="preserve">Calculate the adsorption capacity (q) using the formula: q = (C0 - Ce) * V / m, where C0 is initial concentration, Ce is equilibrium concentration, V is volume, and m is mass of adsorbent.</w:t>
      </w:r>
    </w:p>
    <w:bookmarkEnd w:id="27"/>
    <w:bookmarkEnd w:id="28"/>
    <w:bookmarkStart w:id="29" w:name="data-interpretation-and-reporting"/>
    <w:p>
      <w:pPr>
        <w:pStyle w:val="Heading2"/>
      </w:pPr>
      <w:r>
        <w:t xml:space="preserve">6. Data Interpretation and Reporting</w:t>
      </w:r>
    </w:p>
    <w:p>
      <w:pPr>
        <w:pStyle w:val="FirstParagraph"/>
      </w:pPr>
      <w:r>
        <w:t xml:space="preserve">The Chemical Engineer must analyze the data to determine the Langmuir and Freundlich isotherm models that best fit the adsorption behavior. This theoretical modeling is crucial for designing full-scale filtration units. The report must highlight the cost-benefit analysis, comparing the cost of this locally produced carbon against imported activated carbon.</w:t>
      </w:r>
    </w:p>
    <w:p>
      <w:pPr>
        <w:pStyle w:val="BodyText"/>
      </w:pPr>
      <w:r>
        <w:t xml:space="preserve">Special attention must be paid to the regeneration potential of the carbon. If the carbon can be reused multiple times without significant loss of efficiency, the technology becomes viable for community-level implementation in Kinshasa.</w:t>
      </w:r>
    </w:p>
    <w:bookmarkEnd w:id="29"/>
    <w:bookmarkStart w:id="30" w:name="conclusion"/>
    <w:p>
      <w:pPr>
        <w:pStyle w:val="Heading2"/>
      </w:pPr>
      <w:r>
        <w:t xml:space="preserve">7. Conclusion</w:t>
      </w:r>
    </w:p>
    <w:p>
      <w:pPr>
        <w:pStyle w:val="FirstParagraph"/>
      </w:pPr>
      <w:r>
        <w:t xml:space="preserve">This protocol provides a rigorous framework for developing sustainable water treatment solutions in the DR Congo. By leveraging local agricultural waste, we reduce environmental burden while creating a low-cost technology to combat waterborne diseases. The success of this experiment depends on strict adherence to safety protocols and accurate data collection, ensuring that the results are scientifically valid and practically applicable to the specific environmental conditions of Kinshasa.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Water Purification via Local Adsorbents</dc:title>
  <dc:creator/>
  <dc:language>en</dc:language>
  <cp:keywords/>
  <dcterms:created xsi:type="dcterms:W3CDTF">2026-10-10T04:01:19Z</dcterms:created>
  <dcterms:modified xsi:type="dcterms:W3CDTF">2026-10-10T04:01:19Z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