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Quality</w:t>
      </w:r>
      <w:r>
        <w:t xml:space="preserve"> </w:t>
      </w:r>
      <w:r>
        <w:t xml:space="preserve">Analysis</w:t>
      </w:r>
      <w:r>
        <w:t xml:space="preserve"> </w:t>
      </w:r>
      <w:r>
        <w:t xml:space="preserve">in</w:t>
      </w:r>
      <w:r>
        <w:t xml:space="preserve"> </w:t>
      </w:r>
      <w:r>
        <w:t xml:space="preserve">Addis</w:t>
      </w:r>
      <w:r>
        <w:t xml:space="preserve"> </w:t>
      </w:r>
      <w:r>
        <w:t xml:space="preserve">Ababa</w:t>
      </w:r>
    </w:p>
    <w:bookmarkStart w:id="20" w:name="X94e9d9d594b35f924dfa4b073267df4b5f922fe"/>
    <w:p>
      <w:pPr>
        <w:pStyle w:val="Heading1"/>
      </w:pPr>
      <w:r>
        <w:t xml:space="preserve">Experiment Protocol: Assessment of Heavy Metal Contamination in Industrial Effluents</w:t>
      </w:r>
    </w:p>
    <w:p>
      <w:pPr>
        <w:pStyle w:val="FirstParagraph"/>
      </w:pPr>
      <w:r>
        <w:rPr>
          <w:bCs/>
          <w:b/>
        </w:rPr>
        <w:t xml:space="preserve">Location:</w:t>
      </w:r>
      <w:r>
        <w:t xml:space="preserve"> </w:t>
      </w:r>
      <w:r>
        <w:t xml:space="preserve">Bole Lemi Industrial Park, Addis Ababa, Ethiopia</w:t>
      </w:r>
    </w:p>
    <w:p>
      <w:pPr>
        <w:pStyle w:val="BodyText"/>
      </w:pPr>
      <w:r>
        <w:rPr>
          <w:bCs/>
          <w:b/>
        </w:rPr>
        <w:t xml:space="preserve">Role:</w:t>
      </w:r>
      <w:r>
        <w:t xml:space="preserve"> </w:t>
      </w:r>
      <w:r>
        <w:t xml:space="preserve">Chemical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AA-CE-2023-042</w:t>
      </w:r>
    </w:p>
    <w:bookmarkEnd w:id="20"/>
    <w:bookmarkStart w:id="21" w:name="introduction-and-objective"/>
    <w:p>
      <w:pPr>
        <w:pStyle w:val="Heading2"/>
      </w:pPr>
      <w:r>
        <w:t xml:space="preserve">1. Introduction and Objective</w:t>
      </w:r>
    </w:p>
    <w:p>
      <w:pPr>
        <w:pStyle w:val="FirstParagraph"/>
      </w:pPr>
      <w:r>
        <w:t xml:space="preserve">This document outlines the standard operating procedure for the analysis of wastewater effluents generated by textile and manufacturing plants within the Bole Lemi Industrial Park in Addis Ababa, Ethiopia. As a Chemical Engineer operating in this region, the primary objective is to ensure compliance with the Environmental Protection Authority (EPA) of Ethiopia regulations regarding industrial discharge.</w:t>
      </w:r>
    </w:p>
    <w:p>
      <w:pPr>
        <w:pStyle w:val="BodyText"/>
      </w:pPr>
      <w:r>
        <w:t xml:space="preserve">Rapid industrialization in Addis Ababa has led to increased concerns regarding the quality of water bodies such as the Akaki River. This experiment protocol focuses on quantifying the concentration of heavy metals (specifically Lead, Cadmium, and Chromium) and measuring Chemical Oxygen Demand (COD) in effluent samples. The data gathered will be used to optimize the design of on-site wastewater treatment plants (WWTP) and ensure that the chemical processes involved in manufacturing do not pose a threat to the local ecosystem or public health.</w:t>
      </w:r>
    </w:p>
    <w:bookmarkEnd w:id="21"/>
    <w:bookmarkStart w:id="22" w:name="scope-and-applicability"/>
    <w:p>
      <w:pPr>
        <w:pStyle w:val="Heading2"/>
      </w:pPr>
      <w:r>
        <w:t xml:space="preserve">2. Scope and Applicability</w:t>
      </w:r>
    </w:p>
    <w:p>
      <w:pPr>
        <w:pStyle w:val="FirstParagraph"/>
      </w:pPr>
      <w:r>
        <w:t xml:space="preserve">This protocol applies to all chemical engineering personnel and laboratory technicians involved in environmental monitoring within the Addis Ababa industrial sector. It is designed to be robust enough to handle the variability of industrial waste streams found in Ethiopian manufacturing contexts while adhering to international analytical standards (ISO and ASTM) adapted for local laboratory capabilities.</w:t>
      </w:r>
    </w:p>
    <w:bookmarkEnd w:id="22"/>
    <w:bookmarkStart w:id="23" w:name="X0456acdd3e0174d6058d4509a8695628f9f0d00"/>
    <w:p>
      <w:pPr>
        <w:pStyle w:val="Heading2"/>
      </w:pPr>
      <w:r>
        <w:t xml:space="preserve">3. Safety and Personal Protective Equipment (PPE)</w:t>
      </w:r>
    </w:p>
    <w:p>
      <w:pPr>
        <w:pStyle w:val="FirstParagraph"/>
      </w:pPr>
      <w:r>
        <w:rPr>
          <w:bCs/>
          <w:b/>
        </w:rPr>
        <w:t xml:space="preserve">WARNING:</w:t>
      </w:r>
      <w:r>
        <w:t xml:space="preserve"> </w:t>
      </w:r>
      <w:r>
        <w:t xml:space="preserve">Industrial effluents may contain toxic, corrosive, and carcinogenic substances. Strict adherence to safety protocols is mandatory.</w:t>
      </w:r>
    </w:p>
    <w:p>
      <w:pPr>
        <w:pStyle w:val="BodyText"/>
      </w:pPr>
      <w:r>
        <w:t xml:space="preserve">Before commencing any sampling or analysis, the Chemical Engineer must ensure the following PPE is worn:</w:t>
      </w:r>
    </w:p>
    <w:p>
      <w:pPr>
        <w:numPr>
          <w:ilvl w:val="0"/>
          <w:numId w:val="1001"/>
        </w:numPr>
        <w:pStyle w:val="Compact"/>
      </w:pPr>
      <w:r>
        <w:t xml:space="preserve">Nitrile gloves (double-gloving recommended for heavy metal samples).</w:t>
      </w:r>
    </w:p>
    <w:p>
      <w:pPr>
        <w:numPr>
          <w:ilvl w:val="0"/>
          <w:numId w:val="1001"/>
        </w:numPr>
        <w:pStyle w:val="Compact"/>
      </w:pPr>
      <w:r>
        <w:t xml:space="preserve">Safety goggles with side shields.</w:t>
      </w:r>
    </w:p>
    <w:p>
      <w:pPr>
        <w:numPr>
          <w:ilvl w:val="0"/>
          <w:numId w:val="1001"/>
        </w:numPr>
        <w:pStyle w:val="Compact"/>
      </w:pPr>
      <w:r>
        <w:t xml:space="preserve">Lab coat made of chemical-resistant material.</w:t>
      </w:r>
    </w:p>
    <w:p>
      <w:pPr>
        <w:numPr>
          <w:ilvl w:val="0"/>
          <w:numId w:val="1001"/>
        </w:numPr>
        <w:pStyle w:val="Compact"/>
      </w:pPr>
      <w:r>
        <w:t xml:space="preserve">Closed-toe shoes.</w:t>
      </w:r>
    </w:p>
    <w:p>
      <w:pPr>
        <w:numPr>
          <w:ilvl w:val="0"/>
          <w:numId w:val="1001"/>
        </w:numPr>
        <w:pStyle w:val="Compact"/>
      </w:pPr>
      <w:r>
        <w:t xml:space="preserve">Respiratory protection if sampling in areas with high volatile organic compound (VOC) emissions.</w:t>
      </w:r>
    </w:p>
    <w:p>
      <w:pPr>
        <w:pStyle w:val="FirstParagraph"/>
      </w:pPr>
      <w:r>
        <w:t xml:space="preserve">In the event of a spill, the designated spill kit located in the laboratory at the Bole Lemi facility must be used immediately. Emergency contacts for the Addis Ababa Fire Department and local medical facilities must be posted visibly.</w:t>
      </w:r>
    </w:p>
    <w:bookmarkEnd w:id="23"/>
    <w:bookmarkStart w:id="24" w:name="materials-and-equipment"/>
    <w:p>
      <w:pPr>
        <w:pStyle w:val="Heading2"/>
      </w:pPr>
      <w:r>
        <w:t xml:space="preserve">4. Materials and Equipment</w:t>
      </w:r>
    </w:p>
    <w:p>
      <w:pPr>
        <w:pStyle w:val="FirstParagraph"/>
      </w:pPr>
      <w:r>
        <w:t xml:space="preserve">The following equipment is required to execute this experiment protocol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Atomic Absorption Spectrophotometer (AAS)</w:t>
            </w:r>
          </w:p>
        </w:tc>
        <w:tc>
          <w:tcPr/>
          <w:p>
            <w:pPr>
              <w:pStyle w:val="Compact"/>
              <w:jc w:val="left"/>
            </w:pPr>
            <w:r>
              <w:t xml:space="preserve">Flame AAS for Pb, Cd, Cr analysis</w:t>
            </w:r>
          </w:p>
        </w:tc>
        <w:tc>
          <w:tcPr/>
          <w:p>
            <w:pPr>
              <w:pStyle w:val="Compact"/>
              <w:jc w:val="left"/>
            </w:pPr>
            <w:r>
              <w:t xml:space="preserve">1</w:t>
            </w:r>
          </w:p>
        </w:tc>
      </w:tr>
      <w:tr>
        <w:tc>
          <w:tcPr/>
          <w:p>
            <w:pPr>
              <w:pStyle w:val="Compact"/>
              <w:jc w:val="left"/>
            </w:pPr>
            <w:r>
              <w:t xml:space="preserve">Digestion Block</w:t>
            </w:r>
          </w:p>
        </w:tc>
        <w:tc>
          <w:tcPr/>
          <w:p>
            <w:pPr>
              <w:pStyle w:val="Compact"/>
              <w:jc w:val="left"/>
            </w:pPr>
            <w:r>
              <w:t xml:space="preserve">Temperature controlled up to 200°C</w:t>
            </w:r>
          </w:p>
        </w:tc>
        <w:tc>
          <w:tcPr/>
          <w:p>
            <w:pPr>
              <w:pStyle w:val="Compact"/>
              <w:jc w:val="left"/>
            </w:pPr>
            <w:r>
              <w:t xml:space="preserve">1</w:t>
            </w:r>
          </w:p>
        </w:tc>
      </w:tr>
      <w:tr>
        <w:tc>
          <w:tcPr/>
          <w:p>
            <w:pPr>
              <w:pStyle w:val="Compact"/>
              <w:jc w:val="left"/>
            </w:pPr>
            <w:r>
              <w:t xml:space="preserve">Sampling Bottles</w:t>
            </w:r>
          </w:p>
        </w:tc>
        <w:tc>
          <w:tcPr/>
          <w:p>
            <w:pPr>
              <w:pStyle w:val="Compact"/>
              <w:jc w:val="left"/>
            </w:pPr>
            <w:r>
              <w:t xml:space="preserve">High-density polyethylene (HDPE), 1L, acid-washed</w:t>
            </w:r>
          </w:p>
        </w:tc>
        <w:tc>
          <w:tcPr/>
          <w:p>
            <w:pPr>
              <w:pStyle w:val="Compact"/>
              <w:jc w:val="left"/>
            </w:pPr>
            <w:r>
              <w:t xml:space="preserve">10</w:t>
            </w:r>
          </w:p>
        </w:tc>
      </w:tr>
      <w:tr>
        <w:tc>
          <w:tcPr/>
          <w:p>
            <w:pPr>
              <w:pStyle w:val="Compact"/>
              <w:jc w:val="left"/>
            </w:pPr>
            <w:r>
              <w:t xml:space="preserve">Concentrated Nitric Acid (HNO3)</w:t>
            </w:r>
          </w:p>
        </w:tc>
        <w:tc>
          <w:tcPr/>
          <w:p>
            <w:pPr>
              <w:pStyle w:val="Compact"/>
              <w:jc w:val="left"/>
            </w:pPr>
            <w:r>
              <w:t xml:space="preserve">Trace metal grade</w:t>
            </w:r>
          </w:p>
        </w:tc>
        <w:tc>
          <w:tcPr/>
          <w:p>
            <w:pPr>
              <w:pStyle w:val="Compact"/>
              <w:jc w:val="left"/>
            </w:pPr>
            <w:r>
              <w:t xml:space="preserve">1 Bottle</w:t>
            </w:r>
          </w:p>
        </w:tc>
      </w:tr>
      <w:tr>
        <w:tc>
          <w:tcPr/>
          <w:p>
            <w:pPr>
              <w:pStyle w:val="Compact"/>
              <w:jc w:val="left"/>
            </w:pPr>
            <w:r>
              <w:t xml:space="preserve">pH Meter</w:t>
            </w:r>
          </w:p>
        </w:tc>
        <w:tc>
          <w:tcPr/>
          <w:p>
            <w:pPr>
              <w:pStyle w:val="Compact"/>
              <w:jc w:val="left"/>
            </w:pPr>
            <w:r>
              <w:t xml:space="preserve">Calibrated with standard buffers (4.0, 7.0, 10.0)</w:t>
            </w:r>
          </w:p>
        </w:tc>
        <w:tc>
          <w:tcPr/>
          <w:p>
            <w:pPr>
              <w:pStyle w:val="Compact"/>
              <w:jc w:val="left"/>
            </w:pPr>
            <w:r>
              <w:t xml:space="preserve">1</w:t>
            </w:r>
          </w:p>
        </w:tc>
      </w:tr>
      <w:tr>
        <w:tc>
          <w:tcPr/>
          <w:p>
            <w:pPr>
              <w:pStyle w:val="Compact"/>
              <w:jc w:val="left"/>
            </w:pPr>
            <w:r>
              <w:t xml:space="preserve">COD Digestion Tubes</w:t>
            </w:r>
          </w:p>
        </w:tc>
        <w:tc>
          <w:tcPr/>
          <w:p>
            <w:pPr>
              <w:pStyle w:val="Compact"/>
              <w:jc w:val="left"/>
            </w:pPr>
            <w:r>
              <w:t xml:space="preserve">Standard reflux method</w:t>
            </w:r>
          </w:p>
        </w:tc>
        <w:tc>
          <w:tcPr/>
          <w:p>
            <w:pPr>
              <w:pStyle w:val="Compact"/>
              <w:jc w:val="left"/>
            </w:pPr>
            <w:r>
              <w:t xml:space="preserve">10</w:t>
            </w:r>
          </w:p>
        </w:tc>
      </w:tr>
    </w:tbl>
    <w:bookmarkEnd w:id="24"/>
    <w:bookmarkStart w:id="29" w:name="methodology"/>
    <w:p>
      <w:pPr>
        <w:pStyle w:val="Heading2"/>
      </w:pPr>
      <w:r>
        <w:t xml:space="preserve">5. Methodology</w:t>
      </w:r>
    </w:p>
    <w:bookmarkStart w:id="25" w:name="sample-collection"/>
    <w:p>
      <w:pPr>
        <w:pStyle w:val="Heading3"/>
      </w:pPr>
      <w:r>
        <w:t xml:space="preserve">5.1 Sample Collection</w:t>
      </w:r>
    </w:p>
    <w:p>
      <w:pPr>
        <w:pStyle w:val="FirstParagraph"/>
      </w:pPr>
      <w:r>
        <w:t xml:space="preserve">Sampling will be conducted at the final discharge point of the industrial facility. As a Chemical Engineer, it is crucial to ensure that the sample is representative of the process stream.</w:t>
      </w:r>
    </w:p>
    <w:p>
      <w:pPr>
        <w:numPr>
          <w:ilvl w:val="0"/>
          <w:numId w:val="1002"/>
        </w:numPr>
        <w:pStyle w:val="Compact"/>
      </w:pPr>
      <w:r>
        <w:t xml:space="preserve">Rinse the HDPE bottles three times with the effluent to be sampled.</w:t>
      </w:r>
    </w:p>
    <w:p>
      <w:pPr>
        <w:numPr>
          <w:ilvl w:val="0"/>
          <w:numId w:val="1002"/>
        </w:numPr>
        <w:pStyle w:val="Compact"/>
      </w:pPr>
      <w:r>
        <w:t xml:space="preserve">Collect the sample in a composite manner over a 24-hour period to account for fluctuations in production cycles common in Addis Ababa factories.</w:t>
      </w:r>
    </w:p>
    <w:p>
      <w:pPr>
        <w:numPr>
          <w:ilvl w:val="0"/>
          <w:numId w:val="1002"/>
        </w:numPr>
        <w:pStyle w:val="Compact"/>
      </w:pPr>
      <w:r>
        <w:t xml:space="preserve">Immediately acidify the samples with concentrated nitric acid to a pH less than 2 to prevent metal precipitation and adsorption to container walls.</w:t>
      </w:r>
    </w:p>
    <w:p>
      <w:pPr>
        <w:numPr>
          <w:ilvl w:val="0"/>
          <w:numId w:val="1002"/>
        </w:numPr>
        <w:pStyle w:val="Compact"/>
      </w:pPr>
      <w:r>
        <w:t xml:space="preserve">Label each bottle with the date, time, location, and sample ID.</w:t>
      </w:r>
    </w:p>
    <w:p>
      <w:pPr>
        <w:numPr>
          <w:ilvl w:val="0"/>
          <w:numId w:val="1002"/>
        </w:numPr>
        <w:pStyle w:val="Compact"/>
      </w:pPr>
      <w:r>
        <w:t xml:space="preserve">Store samples in a cooler at 4°C and transport them to the laboratory within 24 hours.</w:t>
      </w:r>
    </w:p>
    <w:bookmarkEnd w:id="25"/>
    <w:bookmarkStart w:id="26" w:name="sample-preparation-acid-digestion"/>
    <w:p>
      <w:pPr>
        <w:pStyle w:val="Heading3"/>
      </w:pPr>
      <w:r>
        <w:t xml:space="preserve">5.2 Sample Preparation (Acid Digestion)</w:t>
      </w:r>
    </w:p>
    <w:p>
      <w:pPr>
        <w:pStyle w:val="FirstParagraph"/>
      </w:pPr>
      <w:r>
        <w:t xml:space="preserve">To determine total heavy metal content, the samples must undergo acid digestion.</w:t>
      </w:r>
    </w:p>
    <w:p>
      <w:pPr>
        <w:numPr>
          <w:ilvl w:val="0"/>
          <w:numId w:val="1003"/>
        </w:numPr>
        <w:pStyle w:val="Compact"/>
      </w:pPr>
      <w:r>
        <w:t xml:space="preserve">Transfer 50 mL of the effluent sample into a digestion flask.</w:t>
      </w:r>
    </w:p>
    <w:p>
      <w:pPr>
        <w:numPr>
          <w:ilvl w:val="0"/>
          <w:numId w:val="1003"/>
        </w:numPr>
        <w:pStyle w:val="Compact"/>
      </w:pPr>
      <w:r>
        <w:t xml:space="preserve">Add 10 mL of concentrated nitric acid.</w:t>
      </w:r>
    </w:p>
    <w:p>
      <w:pPr>
        <w:numPr>
          <w:ilvl w:val="0"/>
          <w:numId w:val="1003"/>
        </w:numPr>
        <w:pStyle w:val="Compact"/>
      </w:pPr>
      <w:r>
        <w:t xml:space="preserve">Heat the mixture on the digestion block at 95°C until the volume is reduced to approximately 10 mL.</w:t>
      </w:r>
    </w:p>
    <w:p>
      <w:pPr>
        <w:numPr>
          <w:ilvl w:val="0"/>
          <w:numId w:val="1003"/>
        </w:numPr>
        <w:pStyle w:val="Compact"/>
      </w:pPr>
      <w:r>
        <w:t xml:space="preserve">Allow the solution to cool, then dilute to 50 mL with deionized water.</w:t>
      </w:r>
    </w:p>
    <w:p>
      <w:pPr>
        <w:numPr>
          <w:ilvl w:val="0"/>
          <w:numId w:val="1003"/>
        </w:numPr>
        <w:pStyle w:val="Compact"/>
      </w:pPr>
      <w:r>
        <w:t xml:space="preserve">Filter the solution through a 0.45-micron membrane filter before analysis.</w:t>
      </w:r>
    </w:p>
    <w:bookmarkEnd w:id="26"/>
    <w:bookmarkStart w:id="27" w:name="analysis-of-heavy-metals"/>
    <w:p>
      <w:pPr>
        <w:pStyle w:val="Heading3"/>
      </w:pPr>
      <w:r>
        <w:t xml:space="preserve">5.3 Analysis of Heavy Metals</w:t>
      </w:r>
    </w:p>
    <w:p>
      <w:pPr>
        <w:pStyle w:val="FirstParagraph"/>
      </w:pPr>
      <w:r>
        <w:t xml:space="preserve">Use the Atomic Absorption Spectrophotometer (AAS) to measure the concentration of Lead (Pb), Cadmium (Cd), and Chromium (Cr).</w:t>
      </w:r>
    </w:p>
    <w:p>
      <w:pPr>
        <w:numPr>
          <w:ilvl w:val="0"/>
          <w:numId w:val="1004"/>
        </w:numPr>
        <w:pStyle w:val="Compact"/>
      </w:pPr>
      <w:r>
        <w:t xml:space="preserve">Calibrate the AAS using standard solutions of known concentrations (0, 1, 2, 5, 10 mg/L).</w:t>
      </w:r>
    </w:p>
    <w:p>
      <w:pPr>
        <w:numPr>
          <w:ilvl w:val="0"/>
          <w:numId w:val="1004"/>
        </w:numPr>
        <w:pStyle w:val="Compact"/>
      </w:pPr>
      <w:r>
        <w:t xml:space="preserve">Aspirate the digested samples into the flame.</w:t>
      </w:r>
    </w:p>
    <w:p>
      <w:pPr>
        <w:numPr>
          <w:ilvl w:val="0"/>
          <w:numId w:val="1004"/>
        </w:numPr>
        <w:pStyle w:val="Compact"/>
      </w:pPr>
      <w:r>
        <w:t xml:space="preserve">Record the absorbance values and calculate the concentration based on the calibration curve.</w:t>
      </w:r>
    </w:p>
    <w:bookmarkEnd w:id="27"/>
    <w:bookmarkStart w:id="28" w:name="chemical-oxygen-demand-cod-analysis"/>
    <w:p>
      <w:pPr>
        <w:pStyle w:val="Heading3"/>
      </w:pPr>
      <w:r>
        <w:t xml:space="preserve">5.4 Chemical Oxygen Demand (COD) Analysis</w:t>
      </w:r>
    </w:p>
    <w:p>
      <w:pPr>
        <w:pStyle w:val="FirstParagraph"/>
      </w:pPr>
      <w:r>
        <w:t xml:space="preserve">COD is a critical parameter for assessing the organic load of the wastewater.</w:t>
      </w:r>
    </w:p>
    <w:p>
      <w:pPr>
        <w:numPr>
          <w:ilvl w:val="0"/>
          <w:numId w:val="1005"/>
        </w:numPr>
        <w:pStyle w:val="Compact"/>
      </w:pPr>
      <w:r>
        <w:t xml:space="preserve">Use the closed reflux colorimetric method.</w:t>
      </w:r>
    </w:p>
    <w:p>
      <w:pPr>
        <w:numPr>
          <w:ilvl w:val="0"/>
          <w:numId w:val="1005"/>
        </w:numPr>
        <w:pStyle w:val="Compact"/>
      </w:pPr>
      <w:r>
        <w:t xml:space="preserve">Add a known amount of potassium dichromate and sulfuric acid to the sample.</w:t>
      </w:r>
    </w:p>
    <w:p>
      <w:pPr>
        <w:numPr>
          <w:ilvl w:val="0"/>
          <w:numId w:val="1005"/>
        </w:numPr>
        <w:pStyle w:val="Compact"/>
      </w:pPr>
      <w:r>
        <w:t xml:space="preserve">Heat the mixture at 150°C for 2 hours.</w:t>
      </w:r>
    </w:p>
    <w:p>
      <w:pPr>
        <w:numPr>
          <w:ilvl w:val="0"/>
          <w:numId w:val="1005"/>
        </w:numPr>
        <w:pStyle w:val="Compact"/>
      </w:pPr>
      <w:r>
        <w:t xml:space="preserve">Measure the remaining dichromate using a spectrophotometer to determine the COD value.</w:t>
      </w:r>
    </w:p>
    <w:bookmarkEnd w:id="28"/>
    <w:bookmarkEnd w:id="29"/>
    <w:bookmarkStart w:id="30" w:name="data-analysis-and-reporting"/>
    <w:p>
      <w:pPr>
        <w:pStyle w:val="Heading2"/>
      </w:pPr>
      <w:r>
        <w:t xml:space="preserve">6. Data Analysis and Reporting</w:t>
      </w:r>
    </w:p>
    <w:p>
      <w:pPr>
        <w:pStyle w:val="FirstParagraph"/>
      </w:pPr>
      <w:r>
        <w:t xml:space="preserve">The Chemical Engineer must compare the obtained results against the permissible limits set by the Ethiopian Environmental Protection Authority.</w:t>
      </w:r>
    </w:p>
    <w:p>
      <w:pPr>
        <w:numPr>
          <w:ilvl w:val="0"/>
          <w:numId w:val="1006"/>
        </w:numPr>
        <w:pStyle w:val="Compact"/>
      </w:pPr>
      <w:r>
        <w:rPr>
          <w:bCs/>
          <w:b/>
        </w:rPr>
        <w:t xml:space="preserve">Lead (Pb):</w:t>
      </w:r>
      <w:r>
        <w:t xml:space="preserve"> </w:t>
      </w:r>
      <w:r>
        <w:t xml:space="preserve">Must not exceed 1.0 mg/L.</w:t>
      </w:r>
    </w:p>
    <w:p>
      <w:pPr>
        <w:numPr>
          <w:ilvl w:val="0"/>
          <w:numId w:val="1006"/>
        </w:numPr>
        <w:pStyle w:val="Compact"/>
      </w:pPr>
      <w:r>
        <w:rPr>
          <w:bCs/>
          <w:b/>
        </w:rPr>
        <w:t xml:space="preserve">Cadmium (Cd):</w:t>
      </w:r>
      <w:r>
        <w:t xml:space="preserve"> </w:t>
      </w:r>
      <w:r>
        <w:t xml:space="preserve">Must not exceed 0.1 mg/L.</w:t>
      </w:r>
    </w:p>
    <w:p>
      <w:pPr>
        <w:numPr>
          <w:ilvl w:val="0"/>
          <w:numId w:val="1006"/>
        </w:numPr>
        <w:pStyle w:val="Compact"/>
      </w:pPr>
      <w:r>
        <w:rPr>
          <w:bCs/>
          <w:b/>
        </w:rPr>
        <w:t xml:space="preserve">Chromium (Cr):</w:t>
      </w:r>
      <w:r>
        <w:t xml:space="preserve"> </w:t>
      </w:r>
      <w:r>
        <w:t xml:space="preserve">Must not exceed 2.0 mg/L.</w:t>
      </w:r>
    </w:p>
    <w:p>
      <w:pPr>
        <w:numPr>
          <w:ilvl w:val="0"/>
          <w:numId w:val="1006"/>
        </w:numPr>
        <w:pStyle w:val="Compact"/>
      </w:pPr>
      <w:r>
        <w:rPr>
          <w:bCs/>
          <w:b/>
        </w:rPr>
        <w:t xml:space="preserve">COD:</w:t>
      </w:r>
      <w:r>
        <w:t xml:space="preserve"> </w:t>
      </w:r>
      <w:r>
        <w:t xml:space="preserve">Must not exceed 100 mg/L for discharge into municipal sewers.</w:t>
      </w:r>
    </w:p>
    <w:p>
      <w:pPr>
        <w:pStyle w:val="FirstParagraph"/>
      </w:pPr>
      <w:r>
        <w:t xml:space="preserve">If any parameter exceeds the limit, the engineer must immediately notify the plant manager and recommend process adjustments, such as optimizing coagulation-flocculation dosages or enhancing biological treatment stages. A detailed report must be submitted to the relevant authorities in Addis Ababa within 48 hours of analysis.</w:t>
      </w:r>
    </w:p>
    <w:bookmarkEnd w:id="30"/>
    <w:bookmarkStart w:id="31" w:name="waste-disposal"/>
    <w:p>
      <w:pPr>
        <w:pStyle w:val="Heading2"/>
      </w:pPr>
      <w:r>
        <w:t xml:space="preserve">7. Waste Disposal</w:t>
      </w:r>
    </w:p>
    <w:p>
      <w:pPr>
        <w:pStyle w:val="FirstParagraph"/>
      </w:pPr>
      <w:r>
        <w:t xml:space="preserve">All chemical waste generated during this experiment, including spent acids and metal-containing solutions, must be collected in designated hazardous waste containers. These containers will be disposed of according to the hazardous waste management guidelines of the Addis Ababa City Administration Environmental Protection Bureau. Never pour chemical waste down the drain.</w:t>
      </w:r>
    </w:p>
    <w:p>
      <w:pPr>
        <w:pStyle w:val="BodyText"/>
      </w:pPr>
      <w:r>
        <w:rPr>
          <w:bCs/>
          <w:b/>
        </w:rPr>
        <w:t xml:space="preserve">Prepared by:</w:t>
      </w:r>
      <w:r>
        <w:t xml:space="preserve"> </w:t>
      </w:r>
      <w:r>
        <w:t xml:space="preserve">[Name], Senior Chemical Engineer</w:t>
      </w:r>
    </w:p>
    <w:p>
      <w:pPr>
        <w:pStyle w:val="BodyText"/>
      </w:pPr>
      <w:r>
        <w:rPr>
          <w:bCs/>
          <w:b/>
        </w:rPr>
        <w:t xml:space="preserve">Approved by:</w:t>
      </w:r>
      <w:r>
        <w:t xml:space="preserve"> </w:t>
      </w:r>
      <w:r>
        <w:t xml:space="preserve">[Name], Plant Director</w:t>
      </w:r>
    </w:p>
    <w:p>
      <w:pPr>
        <w:pStyle w:val="BodyText"/>
      </w:pPr>
      <w:r>
        <w:rPr>
          <w:bCs/>
          <w:b/>
        </w:rPr>
        <w:t xml:space="preserve">Document Version:</w:t>
      </w:r>
      <w:r>
        <w:t xml:space="preserve"> </w:t>
      </w:r>
      <w:r>
        <w:t xml:space="preserve">1.0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Quality Analysis in Addis Ababa</dc:title>
  <dc:creator/>
  <dc:language>en</dc:language>
  <cp:keywords/>
  <dcterms:created xsi:type="dcterms:W3CDTF">2026-10-10T06:20:38Z</dcterms:created>
  <dcterms:modified xsi:type="dcterms:W3CDTF">2026-10-10T06:20:38Z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