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Process</w:t>
      </w:r>
      <w:r>
        <w:t xml:space="preserve"> </w:t>
      </w:r>
      <w:r>
        <w:t xml:space="preserve">Optimization</w:t>
      </w:r>
    </w:p>
    <w:bookmarkStart w:id="20" w:name="Xee415adad42954b47e7422d4dfb8877de3c831c"/>
    <w:p>
      <w:pPr>
        <w:pStyle w:val="Heading1"/>
      </w:pPr>
      <w:r>
        <w:t xml:space="preserve">Experiment Protocol: Chemical Engineering Process Optimization</w:t>
      </w:r>
    </w:p>
    <w:p>
      <w:pPr>
        <w:pStyle w:val="FirstParagraph"/>
      </w:pPr>
      <w:r>
        <w:rPr>
          <w:bCs/>
          <w:b/>
        </w:rPr>
        <w:t xml:space="preserve">Location:</w:t>
      </w:r>
      <w:r>
        <w:t xml:space="preserve"> </w:t>
      </w:r>
      <w:r>
        <w:t xml:space="preserve">Berlin, Germany</w:t>
      </w:r>
    </w:p>
    <w:p>
      <w:pPr>
        <w:pStyle w:val="BodyText"/>
      </w:pPr>
      <w:r>
        <w:rPr>
          <w:bCs/>
          <w:b/>
        </w:rPr>
        <w:t xml:space="preserve">Prepared by:</w:t>
      </w:r>
      <w:r>
        <w:t xml:space="preserve"> </w:t>
      </w:r>
      <w:r>
        <w:t xml:space="preserve">Chemical Engineering Department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chemical engineering experiments in Berlin, Germany. The primary objective is to optimize a specific chemical process while adhering to the stringent safety and environmental regulations mandated by German law. This document is designed for use by chemical engineers and laboratory personnel working in industrial or academic settings in Berlin.</w:t>
      </w:r>
    </w:p>
    <w:bookmarkEnd w:id="21"/>
    <w:bookmarkStart w:id="22" w:name="objectives"/>
    <w:p>
      <w:pPr>
        <w:pStyle w:val="Heading2"/>
      </w:pPr>
      <w:r>
        <w:t xml:space="preserve">2. Objectives</w:t>
      </w:r>
    </w:p>
    <w:p>
      <w:pPr>
        <w:numPr>
          <w:ilvl w:val="0"/>
          <w:numId w:val="1001"/>
        </w:numPr>
        <w:pStyle w:val="Compact"/>
      </w:pPr>
      <w:r>
        <w:t xml:space="preserve">To evaluate the efficiency of a new catalyst in the production of a target chemical compound.</w:t>
      </w:r>
    </w:p>
    <w:p>
      <w:pPr>
        <w:numPr>
          <w:ilvl w:val="0"/>
          <w:numId w:val="1001"/>
        </w:numPr>
        <w:pStyle w:val="Compact"/>
      </w:pPr>
      <w:r>
        <w:t xml:space="preserve">To ensure compliance with German environmental and safety standards, including the Chemicals Act (Chemikaliengesetz) and the Federal Immission Control Act (Bundes-Immissionsschutzgesetz).</w:t>
      </w:r>
    </w:p>
    <w:p>
      <w:pPr>
        <w:numPr>
          <w:ilvl w:val="0"/>
          <w:numId w:val="1001"/>
        </w:numPr>
        <w:pStyle w:val="Compact"/>
      </w:pPr>
      <w:r>
        <w:t xml:space="preserve">To document all experimental procedures and results for future reference and regulatory review.</w:t>
      </w:r>
    </w:p>
    <w:bookmarkEnd w:id="22"/>
    <w:bookmarkStart w:id="23" w:name="scope"/>
    <w:p>
      <w:pPr>
        <w:pStyle w:val="Heading2"/>
      </w:pPr>
      <w:r>
        <w:t xml:space="preserve">3. Scope</w:t>
      </w:r>
    </w:p>
    <w:p>
      <w:pPr>
        <w:pStyle w:val="FirstParagraph"/>
      </w:pPr>
      <w:r>
        <w:t xml:space="preserve">This protocol applies to all chemical engineering experiments conducted at the designated facility in Berlin. It covers the preparation, execution, and post-experiment analysis phases. All personnel involved must be trained in chemical engineering principles and familiar with the safety protocols specific to the German regulatory framework.</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Catalyst</w:t>
            </w:r>
          </w:p>
        </w:tc>
        <w:tc>
          <w:tcPr/>
          <w:p>
            <w:pPr>
              <w:pStyle w:val="Compact"/>
              <w:jc w:val="left"/>
            </w:pPr>
            <w:r>
              <w:t xml:space="preserve">500g</w:t>
            </w:r>
          </w:p>
        </w:tc>
        <w:tc>
          <w:tcPr/>
          <w:p>
            <w:pPr>
              <w:pStyle w:val="Compact"/>
              <w:jc w:val="left"/>
            </w:pPr>
            <w:r>
              <w:t xml:space="preserve">High-purity, certified for industrial use</w:t>
            </w:r>
          </w:p>
        </w:tc>
      </w:tr>
      <w:tr>
        <w:tc>
          <w:tcPr/>
          <w:p>
            <w:pPr>
              <w:pStyle w:val="Compact"/>
              <w:jc w:val="left"/>
            </w:pPr>
            <w:r>
              <w:t xml:space="preserve">Reactants</w:t>
            </w:r>
          </w:p>
        </w:tc>
        <w:tc>
          <w:tcPr/>
          <w:p>
            <w:pPr>
              <w:pStyle w:val="Compact"/>
              <w:jc w:val="left"/>
            </w:pPr>
            <w:r>
              <w:t xml:space="preserve">As per stoichiometric calculations</w:t>
            </w:r>
          </w:p>
        </w:tc>
        <w:tc>
          <w:tcPr/>
          <w:p>
            <w:pPr>
              <w:pStyle w:val="Compact"/>
              <w:jc w:val="left"/>
            </w:pPr>
            <w:r>
              <w:t xml:space="preserve">Grade A, sourced from approved suppliers</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pressure-rated</w:t>
            </w:r>
          </w:p>
        </w:tc>
      </w:tr>
      <w:tr>
        <w:tc>
          <w:tcPr/>
          <w:p>
            <w:pPr>
              <w:pStyle w:val="Compact"/>
              <w:jc w:val="left"/>
            </w:pPr>
            <w:r>
              <w:t xml:space="preserve">Safety Equipment</w:t>
            </w:r>
          </w:p>
        </w:tc>
        <w:tc>
          <w:tcPr/>
          <w:p>
            <w:pPr>
              <w:pStyle w:val="Compact"/>
              <w:jc w:val="left"/>
            </w:pPr>
            <w:r>
              <w:t xml:space="preserve">As required</w:t>
            </w:r>
          </w:p>
        </w:tc>
        <w:tc>
          <w:tcPr/>
          <w:p>
            <w:pPr>
              <w:pStyle w:val="Compact"/>
              <w:jc w:val="left"/>
            </w:pPr>
            <w:r>
              <w:t xml:space="preserve">Personal protective equipment (PPE), fire extinguishers, emergency showers</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commencing the experiment, ensure that all materials and equipment are inspected and certified for use. Verify that the reaction vessel is clean and free from contaminants. Prepare the catalyst and reactants according to the specified quantities and purity levels. All personnel must wear appropriate PPE, including lab coats, gloves, and safety goggles.</w:t>
      </w:r>
    </w:p>
    <w:bookmarkEnd w:id="25"/>
    <w:bookmarkStart w:id="26" w:name="execution"/>
    <w:p>
      <w:pPr>
        <w:pStyle w:val="Heading3"/>
      </w:pPr>
      <w:r>
        <w:t xml:space="preserve">5.2 Execution</w:t>
      </w:r>
    </w:p>
    <w:p>
      <w:pPr>
        <w:pStyle w:val="FirstParagraph"/>
      </w:pPr>
      <w:r>
        <w:t xml:space="preserve">Begin by loading the catalyst into the reaction vessel. Add the reactants gradually while monitoring the temperature and pressure. Maintain the reaction conditions within the specified range to ensure optimal performance of the catalyst. Continuously record all parameters, including temperature, pressure, and reaction time, using calibrated instruments.</w:t>
      </w:r>
    </w:p>
    <w:bookmarkEnd w:id="26"/>
    <w:bookmarkStart w:id="27" w:name="post-experiment-analysis"/>
    <w:p>
      <w:pPr>
        <w:pStyle w:val="Heading3"/>
      </w:pPr>
      <w:r>
        <w:t xml:space="preserve">5.3 Post-Experiment Analysis</w:t>
      </w:r>
    </w:p>
    <w:p>
      <w:pPr>
        <w:pStyle w:val="FirstParagraph"/>
      </w:pPr>
      <w:r>
        <w:t xml:space="preserve">After the reaction is complete, allow the system to cool down to room temperature. Carefully collect the product and any by-products for analysis. Use chromatography and spectroscopy techniques to determine the yield and purity of the target compound. Document all findings in the experiment logbook.</w:t>
      </w:r>
    </w:p>
    <w:bookmarkEnd w:id="27"/>
    <w:bookmarkEnd w:id="28"/>
    <w:bookmarkStart w:id="29" w:name="safety-and-environmental-considerations"/>
    <w:p>
      <w:pPr>
        <w:pStyle w:val="Heading2"/>
      </w:pPr>
      <w:r>
        <w:t xml:space="preserve">6. Safety and Environmental Considerations</w:t>
      </w:r>
    </w:p>
    <w:p>
      <w:pPr>
        <w:pStyle w:val="FirstParagraph"/>
      </w:pPr>
      <w:r>
        <w:t xml:space="preserve">Safety is paramount in all chemical engineering experiments. Adhere to the following guidelines:</w:t>
      </w:r>
    </w:p>
    <w:p>
      <w:pPr>
        <w:numPr>
          <w:ilvl w:val="0"/>
          <w:numId w:val="1002"/>
        </w:numPr>
        <w:pStyle w:val="Compact"/>
      </w:pPr>
      <w:r>
        <w:t xml:space="preserve">Ensure that all personnel are trained in emergency response procedures.</w:t>
      </w:r>
    </w:p>
    <w:p>
      <w:pPr>
        <w:numPr>
          <w:ilvl w:val="0"/>
          <w:numId w:val="1002"/>
        </w:numPr>
        <w:pStyle w:val="Compact"/>
      </w:pPr>
      <w:r>
        <w:t xml:space="preserve">Use fume hoods and ventilation systems to minimize exposure to hazardous substances.</w:t>
      </w:r>
    </w:p>
    <w:p>
      <w:pPr>
        <w:numPr>
          <w:ilvl w:val="0"/>
          <w:numId w:val="1002"/>
        </w:numPr>
        <w:pStyle w:val="Compact"/>
      </w:pPr>
      <w:r>
        <w:t xml:space="preserve">Dispose of chemical waste in accordance with German regulations, including the Waste Management Act (Kreislaufwirtschaftsgesetz).</w:t>
      </w:r>
    </w:p>
    <w:p>
      <w:pPr>
        <w:numPr>
          <w:ilvl w:val="0"/>
          <w:numId w:val="1002"/>
        </w:numPr>
        <w:pStyle w:val="Compact"/>
      </w:pPr>
      <w:r>
        <w:t xml:space="preserve">Conduct regular safety audits and inspections to identify and mitigate potential risks.</w:t>
      </w:r>
    </w:p>
    <w:bookmarkEnd w:id="29"/>
    <w:bookmarkStart w:id="30" w:name="data-recording-and-reporting"/>
    <w:p>
      <w:pPr>
        <w:pStyle w:val="Heading2"/>
      </w:pPr>
      <w:r>
        <w:t xml:space="preserve">7. Data Recording and Reporting</w:t>
      </w:r>
    </w:p>
    <w:p>
      <w:pPr>
        <w:pStyle w:val="FirstParagraph"/>
      </w:pPr>
      <w:r>
        <w:t xml:space="preserve">All experimental data must be recorded accurately and promptly. Use standardized forms and digital tools to ensure consistency and traceability. Prepare a comprehensive report summarizing the objectives, methods, results, and conclusions of the experiment. Submit the report to the relevant authorities in Berlin for review and approval.</w:t>
      </w:r>
    </w:p>
    <w:bookmarkEnd w:id="30"/>
    <w:bookmarkStart w:id="31" w:name="conclusion"/>
    <w:p>
      <w:pPr>
        <w:pStyle w:val="Heading2"/>
      </w:pPr>
      <w:r>
        <w:t xml:space="preserve">8. Conclusion</w:t>
      </w:r>
    </w:p>
    <w:p>
      <w:pPr>
        <w:pStyle w:val="FirstParagraph"/>
      </w:pPr>
      <w:r>
        <w:t xml:space="preserve">This Experiment Protocol provides a structured approach to conducting chemical engineering experiments in Berlin, Germany. By following these guidelines, chemical engineers can ensure the safety, efficiency, and compliance of their work. Continuous improvement and adherence to best practices are essential for advancing the field of chemical engineering while protecting the environment and public health.</w:t>
      </w:r>
    </w:p>
    <w:bookmarkEnd w:id="31"/>
    <w:p>
      <w:pPr>
        <w:pStyle w:val="BodyText"/>
      </w:pPr>
      <w:r>
        <w:t xml:space="preserve">For further information, contact the Chemical Engineering Department at the designated facility in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Process Optimization</dc:title>
  <dc:creator/>
  <dc:language>en</dc:language>
  <cp:keywords/>
  <dcterms:created xsi:type="dcterms:W3CDTF">2026-10-10T00:32:51Z</dcterms:created>
  <dcterms:modified xsi:type="dcterms:W3CDTF">2026-10-10T00:32:51Z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