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Engineering</w:t>
      </w:r>
      <w:r>
        <w:t xml:space="preserve"> </w:t>
      </w:r>
      <w:r>
        <w:t xml:space="preserve">Research</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Catalytic Reactor Performance for Sustainable Chemical Production</w:t>
      </w:r>
    </w:p>
    <w:p>
      <w:pPr>
        <w:pStyle w:val="BodyText"/>
      </w:pPr>
      <w:r>
        <w:rPr>
          <w:bCs/>
          <w:b/>
        </w:rPr>
        <w:t xml:space="preserve">Location:</w:t>
      </w:r>
      <w:r>
        <w:t xml:space="preserve"> </w:t>
      </w:r>
      <w:r>
        <w:t xml:space="preserve">Munich, Germany</w:t>
      </w:r>
    </w:p>
    <w:p>
      <w:pPr>
        <w:pStyle w:val="BodyText"/>
      </w:pPr>
      <w:r>
        <w:rPr>
          <w:bCs/>
          <w:b/>
        </w:rPr>
        <w:t xml:space="preserve">Prepared by:</w:t>
      </w:r>
      <w:r>
        <w:t xml:space="preserve"> </w:t>
      </w:r>
      <w:r>
        <w:t xml:space="preserve">Chemical Engineering Research Team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the Chemical Engineer team conducting research at our facility in Munich, Germany. The primary objective of this study is to optimize the performance of a catalytic reactor used in the production of sustainable chemicals. This research aligns with Germany's commitment to advancing green technologies and reducing environmental impact through innovative chemical engineering solutions.</w:t>
      </w:r>
    </w:p>
    <w:p>
      <w:pPr>
        <w:pStyle w:val="BodyText"/>
      </w:pPr>
      <w:r>
        <w:t xml:space="preserve">Munich, known for its strong emphasis on scientific research and technological innovation, provides an ideal environment for this project. The city's robust infrastructure and access to cutting-edge facilities support the rigorous demands of chemical engineering experiments. This protocol ensures that all activities comply with local regulations, safety standards, and ethical guidelines specific to Germany.</w:t>
      </w:r>
    </w:p>
    <w:bookmarkEnd w:id="21"/>
    <w:bookmarkStart w:id="22" w:name="objectives"/>
    <w:p>
      <w:pPr>
        <w:pStyle w:val="Heading2"/>
      </w:pPr>
      <w:r>
        <w:t xml:space="preserve">2. Objectives</w:t>
      </w:r>
    </w:p>
    <w:p>
      <w:pPr>
        <w:pStyle w:val="FirstParagraph"/>
      </w:pPr>
      <w:r>
        <w:t xml:space="preserve">The key objectives of this experiment are as follows:</w:t>
      </w:r>
    </w:p>
    <w:p>
      <w:pPr>
        <w:numPr>
          <w:ilvl w:val="0"/>
          <w:numId w:val="1001"/>
        </w:numPr>
        <w:pStyle w:val="Compact"/>
      </w:pPr>
      <w:r>
        <w:t xml:space="preserve">To evaluate the efficiency of a novel catalyst in enhancing reaction rates within a fixed-bed reactor.</w:t>
      </w:r>
    </w:p>
    <w:p>
      <w:pPr>
        <w:numPr>
          <w:ilvl w:val="0"/>
          <w:numId w:val="1001"/>
        </w:numPr>
        <w:pStyle w:val="Compact"/>
      </w:pPr>
      <w:r>
        <w:t xml:space="preserve">To determine the optimal operating conditions (temperature, pressure, flow rate) for maximum yield and selectivity.</w:t>
      </w:r>
    </w:p>
    <w:p>
      <w:pPr>
        <w:numPr>
          <w:ilvl w:val="0"/>
          <w:numId w:val="1001"/>
        </w:numPr>
        <w:pStyle w:val="Compact"/>
      </w:pPr>
      <w:r>
        <w:t xml:space="preserve">To assess the environmental impact of the process, including energy consumption and waste generation.</w:t>
      </w:r>
    </w:p>
    <w:p>
      <w:pPr>
        <w:numPr>
          <w:ilvl w:val="0"/>
          <w:numId w:val="1001"/>
        </w:numPr>
        <w:pStyle w:val="Compact"/>
      </w:pPr>
      <w:r>
        <w:t xml:space="preserve">To ensure compliance with German industrial safety standards and environmental regulations.</w:t>
      </w:r>
    </w:p>
    <w:bookmarkEnd w:id="22"/>
    <w:bookmarkStart w:id="23" w:name="materials-and-equipment"/>
    <w:p>
      <w:pPr>
        <w:pStyle w:val="Heading2"/>
      </w:pPr>
      <w:r>
        <w:t xml:space="preserve">3. Materials and Equipment</w:t>
      </w:r>
    </w:p>
    <w:p>
      <w:pPr>
        <w:pStyle w:val="FirstParagraph"/>
      </w:pPr>
      <w:r>
        <w:t xml:space="preserve">The following materials and equipment will be utilized in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Catalyst</w:t>
            </w:r>
          </w:p>
        </w:tc>
        <w:tc>
          <w:tcPr/>
          <w:p>
            <w:pPr>
              <w:pStyle w:val="Compact"/>
              <w:jc w:val="left"/>
            </w:pPr>
            <w:r>
              <w:t xml:space="preserve">Nickel-based catalyst pellets</w:t>
            </w:r>
          </w:p>
        </w:tc>
        <w:tc>
          <w:tcPr/>
          <w:p>
            <w:pPr>
              <w:pStyle w:val="Compact"/>
              <w:jc w:val="left"/>
            </w:pPr>
            <w:r>
              <w:t xml:space="preserve">500 g</w:t>
            </w:r>
          </w:p>
        </w:tc>
      </w:tr>
      <w:tr>
        <w:tc>
          <w:tcPr/>
          <w:p>
            <w:pPr>
              <w:pStyle w:val="Compact"/>
              <w:jc w:val="left"/>
            </w:pPr>
            <w:r>
              <w:t xml:space="preserve">Reactor</w:t>
            </w:r>
          </w:p>
        </w:tc>
        <w:tc>
          <w:tcPr/>
          <w:p>
            <w:pPr>
              <w:pStyle w:val="Compact"/>
              <w:jc w:val="left"/>
            </w:pPr>
            <w:r>
              <w:t xml:space="preserve">Fixed-bed catalytic reactor</w:t>
            </w:r>
          </w:p>
        </w:tc>
        <w:tc>
          <w:tcPr/>
          <w:p>
            <w:pPr>
              <w:pStyle w:val="Compact"/>
              <w:jc w:val="left"/>
            </w:pPr>
            <w:r>
              <w:t xml:space="preserve">1 unit</w:t>
            </w:r>
          </w:p>
        </w:tc>
      </w:tr>
      <w:tr>
        <w:tc>
          <w:tcPr/>
          <w:p>
            <w:pPr>
              <w:pStyle w:val="Compact"/>
              <w:jc w:val="left"/>
            </w:pPr>
            <w:r>
              <w:t xml:space="preserve">Gas Supply</w:t>
            </w:r>
          </w:p>
        </w:tc>
        <w:tc>
          <w:tcPr/>
          <w:p>
            <w:pPr>
              <w:pStyle w:val="Compact"/>
              <w:jc w:val="left"/>
            </w:pPr>
            <w:r>
              <w:t xml:space="preserve">Hydrogen and nitrogen cylinders</w:t>
            </w:r>
          </w:p>
        </w:tc>
        <w:tc>
          <w:tcPr/>
          <w:p>
            <w:pPr>
              <w:pStyle w:val="Compact"/>
              <w:jc w:val="left"/>
            </w:pPr>
            <w:r>
              <w:t xml:space="preserve">2 units each</w:t>
            </w:r>
          </w:p>
        </w:tc>
      </w:tr>
      <w:tr>
        <w:tc>
          <w:tcPr/>
          <w:p>
            <w:pPr>
              <w:pStyle w:val="Compact"/>
              <w:jc w:val="left"/>
            </w:pPr>
            <w:r>
              <w:t xml:space="preserve">Temperature Controller</w:t>
            </w:r>
          </w:p>
        </w:tc>
        <w:tc>
          <w:tcPr/>
          <w:p>
            <w:pPr>
              <w:pStyle w:val="Compact"/>
              <w:jc w:val="left"/>
            </w:pPr>
            <w:r>
              <w:t xml:space="preserve">Precision digital controller</w:t>
            </w:r>
          </w:p>
        </w:tc>
        <w:tc>
          <w:tcPr/>
          <w:p>
            <w:pPr>
              <w:pStyle w:val="Compact"/>
              <w:jc w:val="left"/>
            </w:pPr>
            <w:r>
              <w:t xml:space="preserve">1 unit</w:t>
            </w:r>
          </w:p>
        </w:tc>
      </w:tr>
      <w:tr>
        <w:tc>
          <w:tcPr/>
          <w:p>
            <w:pPr>
              <w:pStyle w:val="Compact"/>
              <w:jc w:val="left"/>
            </w:pPr>
            <w:r>
              <w:t xml:space="preserve">Pressure Gauge</w:t>
            </w:r>
          </w:p>
        </w:tc>
        <w:tc>
          <w:tcPr/>
          <w:p>
            <w:pPr>
              <w:pStyle w:val="Compact"/>
              <w:jc w:val="left"/>
            </w:pPr>
            <w:r>
              <w:t xml:space="preserve">High-accuracy pressure sensor</w:t>
            </w:r>
          </w:p>
        </w:tc>
        <w:tc>
          <w:tcPr/>
          <w:p>
            <w:pPr>
              <w:pStyle w:val="Compact"/>
              <w:jc w:val="left"/>
            </w:pPr>
            <w:r>
              <w:t xml:space="preserve">1 unit</w:t>
            </w:r>
          </w:p>
        </w:tc>
      </w:tr>
      <w:tr>
        <w:tc>
          <w:tcPr/>
          <w:p>
            <w:pPr>
              <w:pStyle w:val="Compact"/>
              <w:jc w:val="left"/>
            </w:pPr>
            <w:r>
              <w:t xml:space="preserve">Gas Chromatograph</w:t>
            </w:r>
          </w:p>
        </w:tc>
        <w:tc>
          <w:tcPr/>
          <w:p>
            <w:pPr>
              <w:pStyle w:val="Compact"/>
              <w:jc w:val="left"/>
            </w:pPr>
            <w:r>
              <w:t xml:space="preserve">For product analysis</w:t>
            </w:r>
          </w:p>
        </w:tc>
        <w:tc>
          <w:tcPr/>
          <w:p>
            <w:pPr>
              <w:pStyle w:val="Compact"/>
              <w:jc w:val="left"/>
            </w:pPr>
            <w:r>
              <w:t xml:space="preserve">1 unit</w:t>
            </w:r>
          </w:p>
        </w:tc>
      </w:tr>
    </w:tbl>
    <w:bookmarkEnd w:id="23"/>
    <w:bookmarkStart w:id="27" w:name="experimental-procedure"/>
    <w:p>
      <w:pPr>
        <w:pStyle w:val="Heading2"/>
      </w:pPr>
      <w:r>
        <w:t xml:space="preserve">4. Experimental Procedure</w:t>
      </w:r>
    </w:p>
    <w:bookmarkStart w:id="24" w:name="preparation"/>
    <w:p>
      <w:pPr>
        <w:pStyle w:val="Heading3"/>
      </w:pPr>
      <w:r>
        <w:t xml:space="preserve">4.1 Preparation</w:t>
      </w:r>
    </w:p>
    <w:p>
      <w:pPr>
        <w:pStyle w:val="FirstParagraph"/>
      </w:pPr>
      <w:r>
        <w:t xml:space="preserve">Before initiating the experiment, the Chemical Engineer must ensure that all equipment is calibrated and functioning correctly. The reactor should be cleaned thoroughly to prevent contamination. The catalyst pellets are loaded into the reactor bed according to the specified packing density. All gas lines are checked for leaks using a soap solution or electronic leak detector.</w:t>
      </w:r>
    </w:p>
    <w:bookmarkEnd w:id="24"/>
    <w:bookmarkStart w:id="25" w:name="operation"/>
    <w:p>
      <w:pPr>
        <w:pStyle w:val="Heading3"/>
      </w:pPr>
      <w:r>
        <w:t xml:space="preserve">4.2 Operation</w:t>
      </w:r>
    </w:p>
    <w:p>
      <w:pPr>
        <w:pStyle w:val="FirstParagraph"/>
      </w:pPr>
      <w:r>
        <w:t xml:space="preserve">The reactor is heated gradually to the desired temperature range (200°C to 400°C) while maintaining a constant flow of inert gas (nitrogen). Once the target temperature is reached, hydrogen is introduced at a controlled flow rate. The reaction is allowed to proceed for a predetermined duration, typically 24 hours, under steady-state conditions. During this period, temperature, pressure, and flow rates are monitored continuously.</w:t>
      </w:r>
    </w:p>
    <w:bookmarkEnd w:id="25"/>
    <w:bookmarkStart w:id="26" w:name="data-collection"/>
    <w:p>
      <w:pPr>
        <w:pStyle w:val="Heading3"/>
      </w:pPr>
      <w:r>
        <w:t xml:space="preserve">4.3 Data Collection</w:t>
      </w:r>
    </w:p>
    <w:p>
      <w:pPr>
        <w:pStyle w:val="FirstParagraph"/>
      </w:pPr>
      <w:r>
        <w:t xml:space="preserve">Product samples are collected at regular intervals and analyzed using gas chromatography to determine conversion rates and selectivity. Energy consumption data is recorded to evaluate the process efficiency. All observations and measurements are documented meticulously in the laboratory notebook.</w:t>
      </w:r>
    </w:p>
    <w:bookmarkEnd w:id="26"/>
    <w:bookmarkEnd w:id="27"/>
    <w:bookmarkStart w:id="28" w:name="safety-considerations"/>
    <w:p>
      <w:pPr>
        <w:pStyle w:val="Heading2"/>
      </w:pPr>
      <w:r>
        <w:t xml:space="preserve">5. Safety Considerations</w:t>
      </w:r>
    </w:p>
    <w:p>
      <w:pPr>
        <w:pStyle w:val="FirstParagraph"/>
      </w:pPr>
      <w:r>
        <w:t xml:space="preserve">Safety is paramount in any chemical engineering experiment. The following measures must be strictly adhered to:</w:t>
      </w:r>
    </w:p>
    <w:p>
      <w:pPr>
        <w:numPr>
          <w:ilvl w:val="0"/>
          <w:numId w:val="1002"/>
        </w:numPr>
        <w:pStyle w:val="Compact"/>
      </w:pPr>
      <w:r>
        <w:t xml:space="preserve">All personnel must wear appropriate personal protective equipment (PPE), including lab coats, gloves, and safety goggles.</w:t>
      </w:r>
    </w:p>
    <w:p>
      <w:pPr>
        <w:numPr>
          <w:ilvl w:val="0"/>
          <w:numId w:val="1002"/>
        </w:numPr>
        <w:pStyle w:val="Compact"/>
      </w:pPr>
      <w:r>
        <w:t xml:space="preserve">The laboratory must be equipped with fire extinguishers, eyewash stations, and emergency showers.</w:t>
      </w:r>
    </w:p>
    <w:p>
      <w:pPr>
        <w:numPr>
          <w:ilvl w:val="0"/>
          <w:numId w:val="1002"/>
        </w:numPr>
        <w:pStyle w:val="Compact"/>
      </w:pPr>
      <w:r>
        <w:t xml:space="preserve">In case of an emergency, follow the evacuation procedures outlined in the facility's safety manual.</w:t>
      </w:r>
    </w:p>
    <w:p>
      <w:pPr>
        <w:pStyle w:val="FirstParagraph"/>
      </w:pPr>
      <w:r>
        <w:t xml:space="preserve">Additionally, all activities must comply with the German Chemicals Act (Chemikaliengesetz) and other relevant regulations enforced by the Bavarian State Office for Health and Food Safety.</w:t>
      </w:r>
    </w:p>
    <w:bookmarkEnd w:id="28"/>
    <w:bookmarkStart w:id="29" w:name="environmental-impact-assessment"/>
    <w:p>
      <w:pPr>
        <w:pStyle w:val="Heading2"/>
      </w:pPr>
      <w:r>
        <w:t xml:space="preserve">6. Environmental Impact Assessment</w:t>
      </w:r>
    </w:p>
    <w:p>
      <w:pPr>
        <w:pStyle w:val="FirstParagraph"/>
      </w:pPr>
      <w:r>
        <w:t xml:space="preserve">This experiment aims to minimize its environmental footprint by employing sustainable practices. Waste materials, including spent catalysts and unused chemicals, will be disposed of according to German waste management regulations. Efforts will be made to recycle or reuse materials wherever possible. The energy efficiency of the process will be evaluated to identify opportunities for further improvement.</w:t>
      </w:r>
    </w:p>
    <w:bookmarkEnd w:id="29"/>
    <w:bookmarkStart w:id="30" w:name="conclusion"/>
    <w:p>
      <w:pPr>
        <w:pStyle w:val="Heading2"/>
      </w:pPr>
      <w:r>
        <w:t xml:space="preserve">7. Conclusion</w:t>
      </w:r>
    </w:p>
    <w:p>
      <w:pPr>
        <w:pStyle w:val="FirstParagraph"/>
      </w:pPr>
      <w:r>
        <w:t xml:space="preserve">This Experiment Protocol provides a comprehensive framework for conducting chemical engineering research in Munich, Germany. By adhering to the outlined procedures, the Chemical Engineer team can ensure the successful execution of the experiment while maintaining the highest standards of safety, quality, and environmental responsibility. The findings from this study will contribute to the advancement of sustainable chemical production technologies, supporting Germany's leadership in green innovation.</w:t>
      </w:r>
    </w:p>
    <w:bookmarkEnd w:id="30"/>
    <w:p>
      <w:pPr>
        <w:pStyle w:val="BodyText"/>
      </w:pPr>
      <w:r>
        <w:t xml:space="preserve">For further information, please contact the Chemical Engineering Research Team at our Munich facility.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Engineering Research</dc:title>
  <dc:creator/>
  <dc:language>en</dc:language>
  <cp:keywords/>
  <dcterms:created xsi:type="dcterms:W3CDTF">2026-10-10T06:13:14Z</dcterms:created>
  <dcterms:modified xsi:type="dcterms:W3CDTF">2026-10-10T06:13:14Z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