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India</w:t>
      </w:r>
      <w:r>
        <w:t xml:space="preserve"> </w:t>
      </w:r>
      <w:r>
        <w:t xml:space="preserve">Bangalore</w:t>
      </w:r>
    </w:p>
    <w:bookmarkStart w:id="31" w:name="Xf556cd43dcb0d42b5aa6ba44f2f4b1be4e423ee"/>
    <w:p>
      <w:pPr>
        <w:pStyle w:val="Heading1"/>
      </w:pPr>
      <w:r>
        <w:t xml:space="preserve">Experiment Protocol: Advanced Process Optimization for Chemical Engineer in India Bangalore</w:t>
      </w:r>
    </w:p>
    <w:p>
      <w:pPr>
        <w:pStyle w:val="FirstParagraph"/>
      </w:pPr>
      <w:r>
        <w:rPr>
          <w:bCs/>
          <w:b/>
        </w:rPr>
        <w:t xml:space="preserve">Document ID:</w:t>
      </w:r>
      <w:r>
        <w:t xml:space="preserve"> </w:t>
      </w:r>
      <w:r>
        <w:t xml:space="preserve">CP-BLR-2023-004</w:t>
      </w:r>
    </w:p>
    <w:p>
      <w:pPr>
        <w:pStyle w:val="BodyText"/>
      </w:pPr>
      <w:r>
        <w:rPr>
          <w:bCs/>
          <w:b/>
        </w:rPr>
        <w:t xml:space="preserve">Location:</w:t>
      </w:r>
      <w:r>
        <w:t xml:space="preserve"> </w:t>
      </w:r>
      <w:r>
        <w:t xml:space="preserve">Electronic City Industrial Zone, India Bangalore</w:t>
      </w:r>
    </w:p>
    <w:p>
      <w:pPr>
        <w:pStyle w:val="BodyText"/>
      </w:pPr>
      <w:r>
        <w:rPr>
          <w:bCs/>
          <w:b/>
        </w:rPr>
        <w:t xml:space="preserve">Target Audience:</w:t>
      </w:r>
      <w:r>
        <w:t xml:space="preserve"> </w:t>
      </w:r>
      <w:r>
        <w:t xml:space="preserve">Chemical Engineer, Process Technicians, Safety Officers</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Approved for Implementation</w:t>
      </w:r>
    </w:p>
    <w:bookmarkStart w:id="20" w:name="introduction-and-objective"/>
    <w:p>
      <w:pPr>
        <w:pStyle w:val="Heading2"/>
      </w:pPr>
      <w:r>
        <w:t xml:space="preserve">1. Introduction and Objective</w:t>
      </w:r>
    </w:p>
    <w:p>
      <w:pPr>
        <w:pStyle w:val="FirstParagraph"/>
      </w:pPr>
      <w:r>
        <w:t xml:space="preserve">This Experiment Protocol is designed specifically for the Chemical Engineer operating within the dynamic industrial landscape of India Bangalore. As a hub for pharmaceuticals, biotechnology, and specialty chemicals, Bangalore demands rigorous adherence to safety and efficiency standards. The primary objective of this experiment is to evaluate the thermal stability and reaction kinetics of a novel catalyst under high-humidity conditions typical of the Bangalore climate during the monsoon season.</w:t>
      </w:r>
    </w:p>
    <w:p>
      <w:pPr>
        <w:pStyle w:val="BodyText"/>
      </w:pPr>
      <w:r>
        <w:t xml:space="preserve">The Chemical Engineer must ensure that the process parameters align with both international best practices and local regulatory requirements set by the Karnataka State Pollution Control Board (KSPCB). This protocol serves as a comprehensive guide to conducting the experiment safely, accurately, and efficiently.</w:t>
      </w:r>
    </w:p>
    <w:bookmarkEnd w:id="20"/>
    <w:bookmarkStart w:id="21" w:name="scope-and-applicability"/>
    <w:p>
      <w:pPr>
        <w:pStyle w:val="Heading2"/>
      </w:pPr>
      <w:r>
        <w:t xml:space="preserve">2. Scope and Applicability</w:t>
      </w:r>
    </w:p>
    <w:p>
      <w:pPr>
        <w:pStyle w:val="FirstParagraph"/>
      </w:pPr>
      <w:r>
        <w:t xml:space="preserve">This protocol applies to all Chemical Engineers and supporting staff involved in the pilot-scale testing of the catalyst within the laboratory facilities located in the Outer Ring Road (ORR) industrial corridor of India Bangalore. It covers the preparation, execution, monitoring, and post-experiment analysis phases.</w:t>
      </w:r>
    </w:p>
    <w:bookmarkEnd w:id="21"/>
    <w:bookmarkStart w:id="22" w:name="X56b14043d8269c5d9723aad1ff5ecf1093305f7"/>
    <w:p>
      <w:pPr>
        <w:pStyle w:val="Heading2"/>
      </w:pPr>
      <w:r>
        <w:t xml:space="preserve">3. Safety Precautions and Regulatory Compliance</w:t>
      </w:r>
    </w:p>
    <w:p>
      <w:pPr>
        <w:pStyle w:val="FirstParagraph"/>
      </w:pPr>
      <w:r>
        <w:rPr>
          <w:bCs/>
          <w:b/>
        </w:rPr>
        <w:t xml:space="preserve">CRITICAL SAFETY NOTICE:</w:t>
      </w:r>
      <w:r>
        <w:t xml:space="preserve"> </w:t>
      </w:r>
      <w:r>
        <w:t xml:space="preserve">Failure to adhere to these safety guidelines may result in severe injury, environmental damage, or legal penalties under the Factories Act, 1948, and the Environment Protection Act, 1986.</w:t>
      </w:r>
    </w:p>
    <w:p>
      <w:pPr>
        <w:pStyle w:val="BodyText"/>
      </w:pPr>
      <w:r>
        <w:t xml:space="preserve">The Chemical Engineer must ensure the following safety measures are in place before commencing the experiment:</w:t>
      </w:r>
    </w:p>
    <w:p>
      <w:pPr>
        <w:numPr>
          <w:ilvl w:val="0"/>
          <w:numId w:val="1001"/>
        </w:numPr>
        <w:pStyle w:val="Compact"/>
      </w:pPr>
      <w:r>
        <w:rPr>
          <w:bCs/>
          <w:b/>
        </w:rPr>
        <w:t xml:space="preserve">Personal Protective Equipment (PPE):</w:t>
      </w:r>
      <w:r>
        <w:t xml:space="preserve"> </w:t>
      </w:r>
      <w:r>
        <w:t xml:space="preserve">All personnel must wear lab coats, safety goggles, chemical-resistant gloves, and closed-toe shoes. Respiratory protection is mandatory when handling volatile compounds.</w:t>
      </w:r>
    </w:p>
    <w:p>
      <w:pPr>
        <w:numPr>
          <w:ilvl w:val="0"/>
          <w:numId w:val="1001"/>
        </w:numPr>
        <w:pStyle w:val="Compact"/>
      </w:pPr>
      <w:r>
        <w:rPr>
          <w:bCs/>
          <w:b/>
        </w:rPr>
        <w:t xml:space="preserve">Ventilation:</w:t>
      </w:r>
      <w:r>
        <w:t xml:space="preserve"> </w:t>
      </w:r>
      <w:r>
        <w:t xml:space="preserve">Ensure the fume hood is operational and meets the airflow standards specified by the National Building Code of India.</w:t>
      </w:r>
    </w:p>
    <w:p>
      <w:pPr>
        <w:numPr>
          <w:ilvl w:val="0"/>
          <w:numId w:val="1001"/>
        </w:numPr>
        <w:pStyle w:val="Compact"/>
      </w:pPr>
      <w:r>
        <w:rPr>
          <w:bCs/>
          <w:b/>
        </w:rPr>
        <w:t xml:space="preserve">Emergency Procedures:</w:t>
      </w:r>
      <w:r>
        <w:t xml:space="preserve"> </w:t>
      </w:r>
      <w:r>
        <w:t xml:space="preserve">Familiarize yourself with the location of emergency showers, eyewash stations, and fire extinguishers. In case of a spill, follow the spill response plan approved by the facility's safety officer.</w:t>
      </w:r>
    </w:p>
    <w:p>
      <w:pPr>
        <w:numPr>
          <w:ilvl w:val="0"/>
          <w:numId w:val="1001"/>
        </w:numPr>
        <w:pStyle w:val="Compact"/>
      </w:pPr>
      <w:r>
        <w:rPr>
          <w:bCs/>
          <w:b/>
        </w:rPr>
        <w:t xml:space="preserve">Local Regulations:</w:t>
      </w:r>
      <w:r>
        <w:t xml:space="preserve"> </w:t>
      </w:r>
      <w:r>
        <w:t xml:space="preserve">Adhere to the waste disposal guidelines set by the Bangalore Water Supply and Sewerage Board (BWSSB) and the KSPCB.</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Catalyst Sample</w:t>
            </w:r>
          </w:p>
        </w:tc>
        <w:tc>
          <w:tcPr/>
          <w:p>
            <w:pPr>
              <w:pStyle w:val="Compact"/>
              <w:jc w:val="left"/>
            </w:pPr>
            <w:r>
              <w:t xml:space="preserve">Novel Zeolite-based, 50g</w:t>
            </w:r>
          </w:p>
        </w:tc>
        <w:tc>
          <w:tcPr/>
          <w:p>
            <w:pPr>
              <w:pStyle w:val="Compact"/>
              <w:jc w:val="left"/>
            </w:pPr>
            <w:r>
              <w:t xml:space="preserve">1</w:t>
            </w:r>
          </w:p>
        </w:tc>
      </w:tr>
      <w:tr>
        <w:tc>
          <w:tcPr/>
          <w:p>
            <w:pPr>
              <w:pStyle w:val="Compact"/>
              <w:jc w:val="left"/>
            </w:pPr>
            <w:r>
              <w:t xml:space="preserve">Reactant A</w:t>
            </w:r>
          </w:p>
        </w:tc>
        <w:tc>
          <w:tcPr/>
          <w:p>
            <w:pPr>
              <w:pStyle w:val="Compact"/>
              <w:jc w:val="left"/>
            </w:pPr>
            <w:r>
              <w:t xml:space="preserve">High-purity Ethanol, 500ml</w:t>
            </w:r>
          </w:p>
        </w:tc>
        <w:tc>
          <w:tcPr/>
          <w:p>
            <w:pPr>
              <w:pStyle w:val="Compact"/>
              <w:jc w:val="left"/>
            </w:pPr>
            <w:r>
              <w:t xml:space="preserve">1</w:t>
            </w:r>
          </w:p>
        </w:tc>
      </w:tr>
      <w:tr>
        <w:tc>
          <w:tcPr/>
          <w:p>
            <w:pPr>
              <w:pStyle w:val="Compact"/>
              <w:jc w:val="left"/>
            </w:pPr>
            <w:r>
              <w:t xml:space="preserve">Reactant B</w:t>
            </w:r>
          </w:p>
        </w:tc>
        <w:tc>
          <w:tcPr/>
          <w:p>
            <w:pPr>
              <w:pStyle w:val="Compact"/>
              <w:jc w:val="left"/>
            </w:pPr>
            <w:r>
              <w:t xml:space="preserve">Acetic Acid, 500ml</w:t>
            </w:r>
          </w:p>
        </w:tc>
        <w:tc>
          <w:tcPr/>
          <w:p>
            <w:pPr>
              <w:pStyle w:val="Compact"/>
              <w:jc w:val="left"/>
            </w:pPr>
            <w:r>
              <w:t xml:space="preserve">1</w:t>
            </w:r>
          </w:p>
        </w:tc>
      </w:tr>
      <w:tr>
        <w:tc>
          <w:tcPr/>
          <w:p>
            <w:pPr>
              <w:pStyle w:val="Compact"/>
              <w:jc w:val="left"/>
            </w:pPr>
            <w:r>
              <w:t xml:space="preserve">Reactor</w:t>
            </w:r>
          </w:p>
        </w:tc>
        <w:tc>
          <w:tcPr/>
          <w:p>
            <w:pPr>
              <w:pStyle w:val="Compact"/>
              <w:jc w:val="left"/>
            </w:pPr>
            <w:r>
              <w:t xml:space="preserve">Stainless Steel, 2L capacity</w:t>
            </w:r>
          </w:p>
        </w:tc>
        <w:tc>
          <w:tcPr/>
          <w:p>
            <w:pPr>
              <w:pStyle w:val="Compact"/>
              <w:jc w:val="left"/>
            </w:pPr>
            <w:r>
              <w:t xml:space="preserve">1</w:t>
            </w:r>
          </w:p>
        </w:tc>
      </w:tr>
      <w:tr>
        <w:tc>
          <w:tcPr/>
          <w:p>
            <w:pPr>
              <w:pStyle w:val="Compact"/>
              <w:jc w:val="left"/>
            </w:pPr>
            <w:r>
              <w:t xml:space="preserve">Thermocouple</w:t>
            </w:r>
          </w:p>
        </w:tc>
        <w:tc>
          <w:tcPr/>
          <w:p>
            <w:pPr>
              <w:pStyle w:val="Compact"/>
              <w:jc w:val="left"/>
            </w:pPr>
            <w:r>
              <w:t xml:space="preserve">Type K, calibrated</w:t>
            </w:r>
          </w:p>
        </w:tc>
        <w:tc>
          <w:tcPr/>
          <w:p>
            <w:pPr>
              <w:pStyle w:val="Compact"/>
              <w:jc w:val="left"/>
            </w:pPr>
            <w:r>
              <w:t xml:space="preserve">2</w:t>
            </w:r>
          </w:p>
        </w:tc>
      </w:tr>
      <w:tr>
        <w:tc>
          <w:tcPr/>
          <w:p>
            <w:pPr>
              <w:pStyle w:val="Compact"/>
              <w:jc w:val="left"/>
            </w:pPr>
            <w:r>
              <w:t xml:space="preserve">Data Logger</w:t>
            </w:r>
          </w:p>
        </w:tc>
        <w:tc>
          <w:tcPr/>
          <w:p>
            <w:pPr>
              <w:pStyle w:val="Compact"/>
              <w:jc w:val="left"/>
            </w:pPr>
            <w:r>
              <w:t xml:space="preserve">High-resolution, USB-enabled</w:t>
            </w:r>
          </w:p>
        </w:tc>
        <w:tc>
          <w:tcPr/>
          <w:p>
            <w:pPr>
              <w:pStyle w:val="Compact"/>
              <w:jc w:val="left"/>
            </w:pPr>
            <w:r>
              <w:t xml:space="preserve">1</w:t>
            </w:r>
          </w:p>
        </w:tc>
      </w:tr>
      <w:tr>
        <w:tc>
          <w:tcPr/>
          <w:p>
            <w:pPr>
              <w:pStyle w:val="Compact"/>
              <w:jc w:val="left"/>
            </w:pPr>
            <w:r>
              <w:t xml:space="preserve">Humidity Chamber</w:t>
            </w:r>
          </w:p>
        </w:tc>
        <w:tc>
          <w:tcPr/>
          <w:p>
            <w:pPr>
              <w:pStyle w:val="Compact"/>
              <w:jc w:val="left"/>
            </w:pPr>
            <w:r>
              <w:t xml:space="preserve">Capable of maintaining 80-90% RH</w:t>
            </w:r>
          </w:p>
        </w:tc>
        <w:tc>
          <w:tcPr/>
          <w:p>
            <w:pPr>
              <w:pStyle w:val="Compact"/>
              <w:jc w:val="left"/>
            </w:pPr>
            <w:r>
              <w:t xml:space="preserve">1</w:t>
            </w:r>
          </w:p>
        </w:tc>
      </w:tr>
    </w:tbl>
    <w:bookmarkEnd w:id="23"/>
    <w:bookmarkStart w:id="28" w:name="experimental-procedure"/>
    <w:p>
      <w:pPr>
        <w:pStyle w:val="Heading2"/>
      </w:pPr>
      <w:r>
        <w:t xml:space="preserve">5. Experimental Procedure</w:t>
      </w:r>
    </w:p>
    <w:bookmarkStart w:id="24" w:name="preparation-phase"/>
    <w:p>
      <w:pPr>
        <w:pStyle w:val="Heading3"/>
      </w:pPr>
      <w:r>
        <w:t xml:space="preserve">5.1 Preparation Phase</w:t>
      </w:r>
    </w:p>
    <w:p>
      <w:pPr>
        <w:pStyle w:val="FirstParagraph"/>
      </w:pPr>
      <w:r>
        <w:t xml:space="preserve">The Chemical Engineer must begin by calibrating all instruments, including thermocouples and the data logger, to ensure accuracy. Prepare the reactor by cleaning it thoroughly with distilled water and drying it in an oven at 100°C for 30 minutes. Weigh the catalyst sample accurately using a digital balance and place it in the reactor.</w:t>
      </w:r>
    </w:p>
    <w:bookmarkEnd w:id="24"/>
    <w:bookmarkStart w:id="25" w:name="execution-phase"/>
    <w:p>
      <w:pPr>
        <w:pStyle w:val="Heading3"/>
      </w:pPr>
      <w:r>
        <w:t xml:space="preserve">5.2 Execution Phase</w:t>
      </w:r>
    </w:p>
    <w:p>
      <w:pPr>
        <w:pStyle w:val="FirstParagraph"/>
      </w:pPr>
      <w:r>
        <w:t xml:space="preserve">Introduce Reactant A and Reactant B into the reactor in a 1:1 molar ratio. Seal the reactor and place it inside the humidity chamber set to 85% relative humidity, simulating the high-humidity conditions often experienced in India Bangalore during the monsoon season. Gradually increase the temperature to 150°C at a rate of 5°C per minute while continuously monitoring the pressure and temperature using the data logger.</w:t>
      </w:r>
    </w:p>
    <w:bookmarkEnd w:id="25"/>
    <w:bookmarkStart w:id="26" w:name="monitoring-phase"/>
    <w:p>
      <w:pPr>
        <w:pStyle w:val="Heading3"/>
      </w:pPr>
      <w:r>
        <w:t xml:space="preserve">5.3 Monitoring Phase</w:t>
      </w:r>
    </w:p>
    <w:p>
      <w:pPr>
        <w:pStyle w:val="FirstParagraph"/>
      </w:pPr>
      <w:r>
        <w:t xml:space="preserve">Maintain the reaction at 150°C for 4 hours. The Chemical Engineer must record data at 15-minute intervals, noting any changes in pressure, temperature, or visual indicators of the reaction. Ensure that the humidity level remains constant throughout the experiment.</w:t>
      </w:r>
    </w:p>
    <w:bookmarkEnd w:id="26"/>
    <w:bookmarkStart w:id="27" w:name="termination-phase"/>
    <w:p>
      <w:pPr>
        <w:pStyle w:val="Heading3"/>
      </w:pPr>
      <w:r>
        <w:t xml:space="preserve">5.4 Termination Phase</w:t>
      </w:r>
    </w:p>
    <w:p>
      <w:pPr>
        <w:pStyle w:val="FirstParagraph"/>
      </w:pPr>
      <w:r>
        <w:t xml:space="preserve">After 4 hours, allow the reactor to cool down to room temperature naturally. Once cooled, carefully open the reactor and collect the product for analysis. Dispose of any waste materials according to the guidelines provided by the KSPCB.</w:t>
      </w:r>
    </w:p>
    <w:bookmarkEnd w:id="27"/>
    <w:bookmarkEnd w:id="28"/>
    <w:bookmarkStart w:id="29" w:name="data-analysis-and-reporting"/>
    <w:p>
      <w:pPr>
        <w:pStyle w:val="Heading2"/>
      </w:pPr>
      <w:r>
        <w:t xml:space="preserve">6. Data Analysis and Reporting</w:t>
      </w:r>
    </w:p>
    <w:p>
      <w:pPr>
        <w:pStyle w:val="FirstParagraph"/>
      </w:pPr>
      <w:r>
        <w:t xml:space="preserve">The Chemical Engineer must analyze the collected data to determine the reaction kinetics and thermal stability of the catalyst. Use appropriate software tools to plot temperature, pressure, and conversion rate over time. Compare the results with baseline data obtained under standard conditions.</w:t>
      </w:r>
    </w:p>
    <w:p>
      <w:pPr>
        <w:pStyle w:val="BodyText"/>
      </w:pPr>
      <w:r>
        <w:t xml:space="preserve">Prepare a detailed report summarizing the experimental procedure, results, and conclusions. Highlight any deviations from the expected outcomes and propose recommendations for future experiments. Submit the report to the project manager and the safety officer for review.</w:t>
      </w:r>
    </w:p>
    <w:bookmarkEnd w:id="29"/>
    <w:bookmarkStart w:id="30" w:name="conclusion"/>
    <w:p>
      <w:pPr>
        <w:pStyle w:val="Heading2"/>
      </w:pPr>
      <w:r>
        <w:t xml:space="preserve">7. Conclusion</w:t>
      </w:r>
    </w:p>
    <w:p>
      <w:pPr>
        <w:pStyle w:val="FirstParagraph"/>
      </w:pPr>
      <w:r>
        <w:t xml:space="preserve">This Experiment Protocol provides a structured approach for the Chemical Engineer to conduct a safe and effective experiment in the unique environmental conditions of India Bangalore. By following this protocol, the Chemical Engineer can ensure that the experiment yields reliable data while maintaining the highest standards of safety and regulatory compliance.</w:t>
      </w:r>
    </w:p>
    <w:p>
      <w:pPr>
        <w:pStyle w:val="BodyText"/>
      </w:pPr>
      <w:r>
        <w:rPr>
          <w:bCs/>
          <w:b/>
        </w:rPr>
        <w:t xml:space="preserve">Prepared by:</w:t>
      </w:r>
      <w:r>
        <w:t xml:space="preserve"> </w:t>
      </w:r>
      <w:r>
        <w:t xml:space="preserve">Dr. Arjun Mehta, Senior Chemical Engineer</w:t>
      </w:r>
      <w:r>
        <w:br/>
      </w:r>
      <w:r>
        <w:rPr>
          <w:bCs/>
          <w:b/>
        </w:rPr>
        <w:t xml:space="preserve">Reviewed by:</w:t>
      </w:r>
      <w:r>
        <w:t xml:space="preserve"> </w:t>
      </w:r>
      <w:r>
        <w:t xml:space="preserve">Ms. Priya Sharma, Safety Officer</w:t>
      </w:r>
      <w:r>
        <w:br/>
      </w:r>
      <w:r>
        <w:rPr>
          <w:bCs/>
          <w:b/>
        </w:rPr>
        <w:t xml:space="preserve">Approved by:</w:t>
      </w:r>
      <w:r>
        <w:t xml:space="preserve"> </w:t>
      </w:r>
      <w:r>
        <w:t xml:space="preserve">Mr. Rajesh Kumar, Plant Manager</w:t>
      </w:r>
      <w:r>
        <w:br/>
      </w:r>
      <w:r>
        <w:rPr>
          <w:bCs/>
          <w:b/>
        </w:rPr>
        <w:t xml:space="preserve">Facility:</w:t>
      </w:r>
      <w:r>
        <w:t xml:space="preserve"> </w:t>
      </w:r>
      <w:r>
        <w:t xml:space="preserve">Bangalore Industrial Research Park, India Bangalore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India Bangalore</dc:title>
  <dc:creator/>
  <dc:language>en</dc:language>
  <cp:keywords/>
  <dcterms:created xsi:type="dcterms:W3CDTF">2026-10-10T03:20:56Z</dcterms:created>
  <dcterms:modified xsi:type="dcterms:W3CDTF">2026-10-10T03:20:56Z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