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Operations</w:t>
      </w:r>
      <w:r>
        <w:t xml:space="preserve"> </w:t>
      </w:r>
      <w:r>
        <w:t xml:space="preserve">in</w:t>
      </w:r>
      <w:r>
        <w:t xml:space="preserve"> </w:t>
      </w:r>
      <w:r>
        <w:t xml:space="preserve">Iran</w:t>
      </w:r>
      <w:r>
        <w:t xml:space="preserve"> </w:t>
      </w:r>
      <w:r>
        <w:t xml:space="preserve">Tehran</w:t>
      </w:r>
    </w:p>
    <w:bookmarkStart w:id="31" w:name="X768fbdad9204f3cc263c262169c636d32ab8286"/>
    <w:p>
      <w:pPr>
        <w:pStyle w:val="Heading1"/>
      </w:pPr>
      <w:r>
        <w:t xml:space="preserve">Experiment Protocol: Advanced Catalytic Reactor Efficiency Analysis</w:t>
      </w:r>
    </w:p>
    <w:p>
      <w:pPr>
        <w:pStyle w:val="FirstParagraph"/>
      </w:pPr>
      <w:r>
        <w:rPr>
          <w:bCs/>
          <w:b/>
        </w:rPr>
        <w:t xml:space="preserve">Document ID:</w:t>
      </w:r>
      <w:r>
        <w:t xml:space="preserve"> </w:t>
      </w:r>
      <w:r>
        <w:t xml:space="preserve">IRN-THR-CE-2023-045</w:t>
      </w:r>
    </w:p>
    <w:p>
      <w:pPr>
        <w:pStyle w:val="BodyText"/>
      </w:pPr>
      <w:r>
        <w:rPr>
          <w:bCs/>
          <w:b/>
        </w:rPr>
        <w:t xml:space="preserve">Location:</w:t>
      </w:r>
      <w:r>
        <w:t xml:space="preserve"> </w:t>
      </w:r>
      <w:r>
        <w:t xml:space="preserve">Industrial Research Complex, Tehran, Iran</w:t>
      </w:r>
    </w:p>
    <w:p>
      <w:pPr>
        <w:pStyle w:val="BodyText"/>
      </w:pPr>
      <w:r>
        <w:rPr>
          <w:bCs/>
          <w:b/>
        </w:rPr>
        <w:t xml:space="preserve">Discipline:</w:t>
      </w:r>
      <w:r>
        <w:t xml:space="preserve"> </w:t>
      </w:r>
      <w:r>
        <w:t xml:space="preserve">Chemical Engineering</w:t>
      </w:r>
    </w:p>
    <w:p>
      <w:pPr>
        <w:pStyle w:val="BodyText"/>
      </w:pPr>
      <w:r>
        <w:rPr>
          <w:bCs/>
          <w:b/>
        </w:rPr>
        <w:t xml:space="preserve">Prepared By:</w:t>
      </w:r>
      <w:r>
        <w:t xml:space="preserve"> </w:t>
      </w:r>
      <w:r>
        <w:t xml:space="preserve">Senior Chemical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catalytic efficiency tests within the petrochemical processing units located in the industrial zones of Tehran, Iran. As a Chemical Engineer operating in this region, it is imperative to adhere to strict methodological frameworks to ensure data integrity, personnel safety, and compliance with the National Petrochemical Company of Iran (NPC) regulations.</w:t>
      </w:r>
    </w:p>
    <w:p>
      <w:pPr>
        <w:pStyle w:val="BodyText"/>
      </w:pPr>
      <w:r>
        <w:t xml:space="preserve">The primary objective of this experiment is to evaluate the performance degradation of zeolite-based catalysts under high-pressure conditions typical of Tehran's refining infrastructure. By systematically analyzing reaction kinetics and thermal stability, this protocol aims to optimize reactor throughput while minimizing hazardous byproduct formation. This document serves as the definitive guide for all laboratory and pilot-scale operations associated with this project.</w:t>
      </w:r>
    </w:p>
    <w:bookmarkEnd w:id="20"/>
    <w:bookmarkStart w:id="21" w:name="scope-and-applicability"/>
    <w:p>
      <w:pPr>
        <w:pStyle w:val="Heading2"/>
      </w:pPr>
      <w:r>
        <w:t xml:space="preserve">2. Scope and Applicability</w:t>
      </w:r>
    </w:p>
    <w:p>
      <w:pPr>
        <w:pStyle w:val="FirstParagraph"/>
      </w:pPr>
      <w:r>
        <w:t xml:space="preserve">This protocol applies specifically to Chemical Engineers and technical staff conducting experiments within the designated laboratory facilities in Tehran. It covers the preparation of reactants, reactor operation, data acquisition, and post-experiment analysis. The procedures are tailored to the specific environmental conditions of Tehran, including ambient temperature fluctuations and local utility supply characteristics.</w:t>
      </w:r>
    </w:p>
    <w:bookmarkEnd w:id="21"/>
    <w:bookmarkStart w:id="22" w:name="safety-and-regulatory-compliance"/>
    <w:p>
      <w:pPr>
        <w:pStyle w:val="Heading2"/>
      </w:pPr>
      <w:r>
        <w:t xml:space="preserve">3. Safety and Regulatory Compliance</w:t>
      </w:r>
    </w:p>
    <w:p>
      <w:pPr>
        <w:pStyle w:val="FirstParagraph"/>
      </w:pPr>
      <w:r>
        <w:rPr>
          <w:bCs/>
          <w:b/>
        </w:rPr>
        <w:t xml:space="preserve">CRITICAL SAFETY NOTICE:</w:t>
      </w:r>
      <w:r>
        <w:t xml:space="preserve"> </w:t>
      </w:r>
      <w:r>
        <w:t xml:space="preserve">All personnel must strictly adhere to the Occupational Health, Safety, and Environment (OHSE) standards mandated by the Iranian Ministry of Health and Medical Education. Failure to comply may result in immediate termination of the experiment and legal repercussions.</w:t>
      </w:r>
    </w:p>
    <w:p>
      <w:pPr>
        <w:pStyle w:val="BodyText"/>
      </w:pPr>
      <w:r>
        <w:t xml:space="preserve">Given the hazardous nature of the chemicals involved, the following safety measures are mandatory:</w:t>
      </w:r>
    </w:p>
    <w:p>
      <w:pPr>
        <w:numPr>
          <w:ilvl w:val="0"/>
          <w:numId w:val="1001"/>
        </w:numPr>
        <w:pStyle w:val="Compact"/>
      </w:pPr>
      <w:r>
        <w:rPr>
          <w:bCs/>
          <w:b/>
        </w:rPr>
        <w:t xml:space="preserve">Personal Protective Equipment (PPE):</w:t>
      </w:r>
      <w:r>
        <w:t xml:space="preserve"> </w:t>
      </w:r>
      <w:r>
        <w:t xml:space="preserve">All Chemical Engineers must wear flame-resistant lab coats, chemical-resistant gloves (nitrile or butyl rubber), safety goggles, and steel-toed boots. Respiratory protection is required when handling volatile organic compounds.</w:t>
      </w:r>
    </w:p>
    <w:p>
      <w:pPr>
        <w:numPr>
          <w:ilvl w:val="0"/>
          <w:numId w:val="1001"/>
        </w:numPr>
        <w:pStyle w:val="Compact"/>
      </w:pPr>
      <w:r>
        <w:rPr>
          <w:bCs/>
          <w:b/>
        </w:rPr>
        <w:t xml:space="preserve">Emergency Protocols:</w:t>
      </w:r>
      <w:r>
        <w:t xml:space="preserve"> </w:t>
      </w:r>
      <w:r>
        <w:t xml:space="preserve">In the event of a chemical spill or fire, personnel must immediately activate the emergency shutdown system and evacuate to the designated assembly point outside the Tehran facility perimeter. Emergency contact numbers for local fire and medical services must be posted visibly.</w:t>
      </w:r>
    </w:p>
    <w:p>
      <w:pPr>
        <w:numPr>
          <w:ilvl w:val="0"/>
          <w:numId w:val="1001"/>
        </w:numPr>
        <w:pStyle w:val="Compact"/>
      </w:pPr>
      <w:r>
        <w:rPr>
          <w:bCs/>
          <w:b/>
        </w:rPr>
        <w:t xml:space="preserve">Chemical Handling:</w:t>
      </w:r>
      <w:r>
        <w:t xml:space="preserve"> </w:t>
      </w:r>
      <w:r>
        <w:t xml:space="preserve">All hazardous materials must be stored in accordance with the Globally Harmonized System (GHS) of Classification and Labelling of Chemicals, as adopted by Iranian regulatory bodies.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execution of this experiment. All equipment must be calibrated and certified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Catalytic Reactor</w:t>
            </w:r>
          </w:p>
        </w:tc>
        <w:tc>
          <w:tcPr/>
          <w:p>
            <w:pPr>
              <w:pStyle w:val="Compact"/>
              <w:jc w:val="left"/>
            </w:pPr>
            <w:r>
              <w:t xml:space="preserve">Stainless Steel 316L, 5L capacity, max pressure 50 bar</w:t>
            </w:r>
          </w:p>
        </w:tc>
        <w:tc>
          <w:tcPr/>
          <w:p>
            <w:pPr>
              <w:pStyle w:val="Compact"/>
              <w:jc w:val="left"/>
            </w:pPr>
            <w:r>
              <w:t xml:space="preserve">1</w:t>
            </w:r>
          </w:p>
        </w:tc>
      </w:tr>
      <w:tr>
        <w:tc>
          <w:tcPr/>
          <w:p>
            <w:pPr>
              <w:pStyle w:val="Compact"/>
              <w:jc w:val="left"/>
            </w:pPr>
            <w:r>
              <w:t xml:space="preserve">Zeolite Catalyst</w:t>
            </w:r>
          </w:p>
        </w:tc>
        <w:tc>
          <w:tcPr/>
          <w:p>
            <w:pPr>
              <w:pStyle w:val="Compact"/>
              <w:jc w:val="left"/>
            </w:pPr>
            <w:r>
              <w:t xml:space="preserve">ZSM-5 type, particle size 0.5-1.0 mm</w:t>
            </w:r>
          </w:p>
        </w:tc>
        <w:tc>
          <w:tcPr/>
          <w:p>
            <w:pPr>
              <w:pStyle w:val="Compact"/>
              <w:jc w:val="left"/>
            </w:pPr>
            <w:r>
              <w:t xml:space="preserve">500 g</w:t>
            </w:r>
          </w:p>
        </w:tc>
      </w:tr>
      <w:tr>
        <w:tc>
          <w:tcPr/>
          <w:p>
            <w:pPr>
              <w:pStyle w:val="Compact"/>
              <w:jc w:val="left"/>
            </w:pPr>
            <w:r>
              <w:t xml:space="preserve">Feedstock</w:t>
            </w:r>
          </w:p>
        </w:tc>
        <w:tc>
          <w:tcPr/>
          <w:p>
            <w:pPr>
              <w:pStyle w:val="Compact"/>
              <w:jc w:val="left"/>
            </w:pPr>
            <w:r>
              <w:t xml:space="preserve">Naphtha fraction, sourced from Tehran refinery</w:t>
            </w:r>
          </w:p>
        </w:tc>
        <w:tc>
          <w:tcPr/>
          <w:p>
            <w:pPr>
              <w:pStyle w:val="Compact"/>
              <w:jc w:val="left"/>
            </w:pPr>
            <w:r>
              <w:t xml:space="preserve">10 L</w:t>
            </w:r>
          </w:p>
        </w:tc>
      </w:tr>
      <w:tr>
        <w:tc>
          <w:tcPr/>
          <w:p>
            <w:pPr>
              <w:pStyle w:val="Compact"/>
              <w:jc w:val="left"/>
            </w:pPr>
            <w:r>
              <w:t xml:space="preserve">Gas Chromatograph</w:t>
            </w:r>
          </w:p>
        </w:tc>
        <w:tc>
          <w:tcPr/>
          <w:p>
            <w:pPr>
              <w:pStyle w:val="Compact"/>
              <w:jc w:val="left"/>
            </w:pPr>
            <w:r>
              <w:t xml:space="preserve">Agilent 7890B or equivalent</w:t>
            </w:r>
          </w:p>
        </w:tc>
        <w:tc>
          <w:tcPr/>
          <w:p>
            <w:pPr>
              <w:pStyle w:val="Compact"/>
              <w:jc w:val="left"/>
            </w:pPr>
            <w:r>
              <w:t xml:space="preserve">1</w:t>
            </w:r>
          </w:p>
        </w:tc>
      </w:tr>
      <w:tr>
        <w:tc>
          <w:tcPr/>
          <w:p>
            <w:pPr>
              <w:pStyle w:val="Compact"/>
              <w:jc w:val="left"/>
            </w:pPr>
            <w:r>
              <w:t xml:space="preserve">Temperature Controller</w:t>
            </w:r>
          </w:p>
        </w:tc>
        <w:tc>
          <w:tcPr/>
          <w:p>
            <w:pPr>
              <w:pStyle w:val="Compact"/>
              <w:jc w:val="left"/>
            </w:pPr>
            <w:r>
              <w:t xml:space="preserve">PLC-based, accuracy ±0.5°C</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re-experiment-preparation"/>
    <w:p>
      <w:pPr>
        <w:pStyle w:val="Heading3"/>
      </w:pPr>
      <w:r>
        <w:t xml:space="preserve">5.1. Pre-Experiment Preparation</w:t>
      </w:r>
    </w:p>
    <w:p>
      <w:pPr>
        <w:pStyle w:val="FirstParagraph"/>
      </w:pPr>
      <w:r>
        <w:t xml:space="preserve">Before initiating the experiment, the Chemical Engineer must perform a thorough inspection of the reactor and associated piping. Ensure that all valves are in the correct position and that the pressure relief systems are functional. The reactor should be purged with nitrogen gas to remove any residual oxygen or moisture that could interfere with the reaction.</w:t>
      </w:r>
    </w:p>
    <w:p>
      <w:pPr>
        <w:pStyle w:val="BodyText"/>
      </w:pPr>
      <w:r>
        <w:t xml:space="preserve">Prepare the catalyst bed by loading the zeolite particles into the reactor column. Ensure uniform distribution to prevent channeling. Record the initial weight and physical characteristics of the catalyst for later comparison.</w:t>
      </w:r>
    </w:p>
    <w:bookmarkEnd w:id="24"/>
    <w:bookmarkStart w:id="25" w:name="reactor-operation"/>
    <w:p>
      <w:pPr>
        <w:pStyle w:val="Heading3"/>
      </w:pPr>
      <w:r>
        <w:t xml:space="preserve">5.2. Reactor Operation</w:t>
      </w:r>
    </w:p>
    <w:p>
      <w:pPr>
        <w:pStyle w:val="FirstParagraph"/>
      </w:pPr>
      <w:r>
        <w:t xml:space="preserve">Begin by heating the reactor to the target temperature of 450°C at a controlled rate of 5°C per minute. Once the target temperature is reached, introduce the naphtha feedstock at a flow rate of 2 mL/min. Gradually increase the reactor pressure to 30 bar using nitrogen gas.</w:t>
      </w:r>
    </w:p>
    <w:p>
      <w:pPr>
        <w:pStyle w:val="BodyText"/>
      </w:pPr>
      <w:r>
        <w:t xml:space="preserve">Monitor the reactor temperature, pressure, and flow rates continuously using the PLC system. Record data at intervals of 5 minutes for the first hour, then every 15 minutes thereafter. Adjust the feed rate and temperature as necessary to maintain optimal reaction conditions.</w:t>
      </w:r>
    </w:p>
    <w:bookmarkEnd w:id="25"/>
    <w:bookmarkStart w:id="26" w:name="sampling-and-analysis"/>
    <w:p>
      <w:pPr>
        <w:pStyle w:val="Heading3"/>
      </w:pPr>
      <w:r>
        <w:t xml:space="preserve">5.3. Sampling and Analysis</w:t>
      </w:r>
    </w:p>
    <w:p>
      <w:pPr>
        <w:pStyle w:val="FirstParagraph"/>
      </w:pPr>
      <w:r>
        <w:t xml:space="preserve">Collect product samples from the reactor outlet at regular intervals. Use the gas chromatograph to analyze the composition of the products, focusing on the conversion rate of the naphtha and the selectivity of the desired products. Record all analytical data in the laboratory notebook.</w:t>
      </w:r>
    </w:p>
    <w:bookmarkEnd w:id="26"/>
    <w:bookmarkStart w:id="27" w:name="post-experiment-procedures"/>
    <w:p>
      <w:pPr>
        <w:pStyle w:val="Heading3"/>
      </w:pPr>
      <w:r>
        <w:t xml:space="preserve">5.4. Post-Experiment Procedures</w:t>
      </w:r>
    </w:p>
    <w:p>
      <w:pPr>
        <w:pStyle w:val="FirstParagraph"/>
      </w:pPr>
      <w:r>
        <w:t xml:space="preserve">After completing the experiment, gradually cool the reactor to room temperature. Depressurize the system slowly and safely. Remove the catalyst bed and store it in a sealed container for further analysis. Clean the reactor and all associated equipment thoroughly to prevent contamination in future experiments.</w:t>
      </w:r>
    </w:p>
    <w:bookmarkEnd w:id="27"/>
    <w:bookmarkEnd w:id="28"/>
    <w:bookmarkStart w:id="29" w:name="data-analysis-and-reporting"/>
    <w:p>
      <w:pPr>
        <w:pStyle w:val="Heading2"/>
      </w:pPr>
      <w:r>
        <w:t xml:space="preserve">6. Data Analysis and Reporting</w:t>
      </w:r>
    </w:p>
    <w:p>
      <w:pPr>
        <w:pStyle w:val="FirstParagraph"/>
      </w:pPr>
      <w:r>
        <w:t xml:space="preserve">The Chemical Engineer is responsible for analyzing the experimental data to determine the catalyst's performance metrics, including conversion efficiency, selectivity, and deactivation rate. Use statistical methods to assess the reliability of the data and identify any trends or anomalies.</w:t>
      </w:r>
    </w:p>
    <w:p>
      <w:pPr>
        <w:pStyle w:val="BodyText"/>
      </w:pPr>
      <w:r>
        <w:t xml:space="preserve">Prepare a comprehensive report detailing the experimental procedures, results, and conclusions. The report should include recommendations for optimizing the reactor operation and catalyst usage. Submit the report to the project manager and relevant stakeholders within the Tehran facility.</w:t>
      </w:r>
    </w:p>
    <w:bookmarkEnd w:id="29"/>
    <w:bookmarkStart w:id="30" w:name="conclusion"/>
    <w:p>
      <w:pPr>
        <w:pStyle w:val="Heading2"/>
      </w:pPr>
      <w:r>
        <w:t xml:space="preserve">7. Conclusion</w:t>
      </w:r>
    </w:p>
    <w:p>
      <w:pPr>
        <w:pStyle w:val="FirstParagraph"/>
      </w:pPr>
      <w:r>
        <w:t xml:space="preserve">This Experiment Protocol provides a structured approach for conducting catalytic efficiency tests in the context of Chemical Engineering operations in Tehran, Iran. By following these procedures, engineers can ensure the safety, accuracy, and reliability of their experiments, contributing to the advancement of petrochemical processing technologies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Operations in Iran Tehran</dc:title>
  <dc:creator/>
  <dc:language>en</dc:language>
  <cp:keywords/>
  <dcterms:created xsi:type="dcterms:W3CDTF">2026-10-10T05:00:59Z</dcterms:created>
  <dcterms:modified xsi:type="dcterms:W3CDTF">2026-10-10T05:00:59Z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