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Water</w:t>
      </w:r>
      <w:r>
        <w:t xml:space="preserve"> </w:t>
      </w:r>
      <w:r>
        <w:t xml:space="preserve">Treatment</w:t>
      </w:r>
      <w:r>
        <w:t xml:space="preserve"> </w:t>
      </w:r>
      <w:r>
        <w:t xml:space="preserve">Optimization</w:t>
      </w:r>
      <w:r>
        <w:t xml:space="preserve"> </w:t>
      </w:r>
      <w:r>
        <w:t xml:space="preserve">for</w:t>
      </w:r>
      <w:r>
        <w:t xml:space="preserve"> </w:t>
      </w:r>
      <w:r>
        <w:t xml:space="preserve">Baghdad</w:t>
      </w:r>
      <w:r>
        <w:t xml:space="preserve"> </w:t>
      </w:r>
      <w:r>
        <w:t xml:space="preserve">Municipal</w:t>
      </w:r>
      <w:r>
        <w:t xml:space="preserve"> </w:t>
      </w:r>
      <w:r>
        <w:t xml:space="preserve">Supply</w:t>
      </w:r>
    </w:p>
    <w:bookmarkStart w:id="20" w:name="Xdc845e8c7ad9ea9c68a011cb5155f1b7cb8ccae"/>
    <w:p>
      <w:pPr>
        <w:pStyle w:val="Heading1"/>
      </w:pPr>
      <w:r>
        <w:t xml:space="preserve">Experiment Protocol: Advanced Coagulation-Flocculation Optimization for Tigris River Water Treatment</w:t>
      </w:r>
    </w:p>
    <w:p>
      <w:pPr>
        <w:pStyle w:val="FirstParagraph"/>
      </w:pPr>
      <w:r>
        <w:rPr>
          <w:bCs/>
          <w:b/>
        </w:rPr>
        <w:t xml:space="preserve">Location:</w:t>
      </w:r>
      <w:r>
        <w:t xml:space="preserve"> </w:t>
      </w:r>
      <w:r>
        <w:t xml:space="preserve">Baghdad, Iraq (Al-Mansour District Pilot Plant)</w:t>
      </w:r>
    </w:p>
    <w:p>
      <w:pPr>
        <w:pStyle w:val="BodyText"/>
      </w:pPr>
      <w:r>
        <w:rPr>
          <w:bCs/>
          <w:b/>
        </w:rPr>
        <w:t xml:space="preserve">Discipline:</w:t>
      </w:r>
      <w:r>
        <w:t xml:space="preserve"> </w:t>
      </w:r>
      <w:r>
        <w:t xml:space="preserve">Chemical Engineering</w:t>
      </w:r>
    </w:p>
    <w:p>
      <w:pPr>
        <w:pStyle w:val="BodyText"/>
      </w:pPr>
      <w:r>
        <w:rPr>
          <w:bCs/>
          <w:b/>
        </w:rPr>
        <w:t xml:space="preserve">Protocol ID:</w:t>
      </w:r>
      <w:r>
        <w:t xml:space="preserve"> </w:t>
      </w:r>
      <w:r>
        <w:t xml:space="preserve">IQ-BG-CE-2023-04</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Chemical Engineering Team</w:t>
      </w:r>
    </w:p>
    <w:bookmarkEnd w:id="20"/>
    <w:bookmarkStart w:id="21" w:name="objective-and-scope"/>
    <w:p>
      <w:pPr>
        <w:pStyle w:val="Heading2"/>
      </w:pPr>
      <w:r>
        <w:t xml:space="preserve">1. Objective and Scope</w:t>
      </w:r>
    </w:p>
    <w:p>
      <w:pPr>
        <w:pStyle w:val="FirstParagraph"/>
      </w:pPr>
      <w:r>
        <w:t xml:space="preserve">This Experiment Protocol outlines the rigorous procedures required for a Chemical Engineer to optimize the coagulation and flocculation stages of water treatment processes specifically tailored for the water quality characteristics of the Tigris River in Baghdad, Iraq. The primary objective is to determine the optimal dosage of polyaluminum chloride (PACl) and natural coagulants to reduce turbidity levels below the Iraqi Standard Specification (ISS) limits, despite the high variability in raw water quality caused by seasonal fluctuations and upstream agricultural runoff.</w:t>
      </w:r>
    </w:p>
    <w:p>
      <w:pPr>
        <w:pStyle w:val="BodyText"/>
      </w:pPr>
      <w:r>
        <w:t xml:space="preserve">The scope of this experiment includes jar testing, kinetic analysis of floc formation, and stability testing under local environmental conditions. This protocol is designed to ensure data integrity, operator safety, and compliance with the Ministry of Water Resources regulations in Iraq.</w:t>
      </w:r>
    </w:p>
    <w:bookmarkEnd w:id="21"/>
    <w:bookmarkStart w:id="22" w:name="background-and-context"/>
    <w:p>
      <w:pPr>
        <w:pStyle w:val="Heading2"/>
      </w:pPr>
      <w:r>
        <w:t xml:space="preserve">2. Background and Context</w:t>
      </w:r>
    </w:p>
    <w:p>
      <w:pPr>
        <w:pStyle w:val="FirstParagraph"/>
      </w:pPr>
      <w:r>
        <w:t xml:space="preserve">Baghdad faces significant challenges in water supply due to the high turbidity and salinity of the Tigris River, particularly during the summer months. As a Chemical Engineer operating in this region, it is critical to adapt standard treatment protocols to local constraints, including power instability and the availability of specific chemical reagents. This experiment aims to develop a robust treatment train that minimizes chemical usage while maximizing effluent quality, addressing the specific geochemical profile of Baghdad's water sources.</w:t>
      </w:r>
    </w:p>
    <w:bookmarkEnd w:id="22"/>
    <w:bookmarkStart w:id="23" w:name="safety-and-environmental-precautions"/>
    <w:p>
      <w:pPr>
        <w:pStyle w:val="Heading2"/>
      </w:pPr>
      <w:r>
        <w:t xml:space="preserve">3. Safety and Environmental Precautions</w:t>
      </w:r>
    </w:p>
    <w:p>
      <w:pPr>
        <w:pStyle w:val="FirstParagraph"/>
      </w:pPr>
      <w:r>
        <w:rPr>
          <w:bCs/>
          <w:b/>
        </w:rPr>
        <w:t xml:space="preserve">CRITICAL SAFETY WARNING:</w:t>
      </w:r>
      <w:r>
        <w:t xml:space="preserve"> </w:t>
      </w:r>
      <w:r>
        <w:t xml:space="preserve">All personnel must adhere to strict Personal Protective Equipment (PPE) standards. Due to the potential presence of heavy metals and biological contaminants in raw Tigris water, the following is mandatory:</w:t>
      </w:r>
    </w:p>
    <w:p>
      <w:pPr>
        <w:numPr>
          <w:ilvl w:val="0"/>
          <w:numId w:val="1001"/>
        </w:numPr>
        <w:pStyle w:val="Compact"/>
      </w:pPr>
      <w:r>
        <w:t xml:space="preserve">Nitrile gloves and chemical-resistant aprons.</w:t>
      </w:r>
    </w:p>
    <w:p>
      <w:pPr>
        <w:numPr>
          <w:ilvl w:val="0"/>
          <w:numId w:val="1001"/>
        </w:numPr>
        <w:pStyle w:val="Compact"/>
      </w:pPr>
      <w:r>
        <w:t xml:space="preserve">Safety goggles with side shields.</w:t>
      </w:r>
    </w:p>
    <w:p>
      <w:pPr>
        <w:numPr>
          <w:ilvl w:val="0"/>
          <w:numId w:val="1001"/>
        </w:numPr>
        <w:pStyle w:val="Compact"/>
      </w:pPr>
      <w:r>
        <w:t xml:space="preserve">Respiratory protection when handling dry coagulant powders.</w:t>
      </w:r>
    </w:p>
    <w:p>
      <w:pPr>
        <w:numPr>
          <w:ilvl w:val="0"/>
          <w:numId w:val="1001"/>
        </w:numPr>
        <w:pStyle w:val="Compact"/>
      </w:pPr>
      <w:r>
        <w:t xml:space="preserve">Emergency eyewash stations must be functional and accessible within 10 seconds.</w:t>
      </w:r>
    </w:p>
    <w:p>
      <w:pPr>
        <w:numPr>
          <w:ilvl w:val="0"/>
          <w:numId w:val="1001"/>
        </w:numPr>
        <w:pStyle w:val="Compact"/>
      </w:pPr>
      <w:r>
        <w:t xml:space="preserve">Waste disposal must follow Iraqi environmental guidelines for hazardous chemical waste.</w:t>
      </w:r>
    </w:p>
    <w:bookmarkEnd w:id="23"/>
    <w:bookmarkStart w:id="24"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Jar Tester Apparatus</w:t>
            </w:r>
          </w:p>
        </w:tc>
        <w:tc>
          <w:tcPr/>
          <w:p>
            <w:pPr>
              <w:pStyle w:val="Compact"/>
              <w:jc w:val="left"/>
            </w:pPr>
            <w:r>
              <w:t xml:space="preserve">6-paddle, variable speed (0-150 RPM)</w:t>
            </w:r>
          </w:p>
        </w:tc>
        <w:tc>
          <w:tcPr/>
          <w:p>
            <w:pPr>
              <w:pStyle w:val="Compact"/>
              <w:jc w:val="left"/>
            </w:pPr>
            <w:r>
              <w:t xml:space="preserve">1 Unit</w:t>
            </w:r>
          </w:p>
        </w:tc>
      </w:tr>
      <w:tr>
        <w:tc>
          <w:tcPr/>
          <w:p>
            <w:pPr>
              <w:pStyle w:val="Compact"/>
              <w:jc w:val="left"/>
            </w:pPr>
            <w:r>
              <w:t xml:space="preserve">Raw Water Samples</w:t>
            </w:r>
          </w:p>
        </w:tc>
        <w:tc>
          <w:tcPr/>
          <w:p>
            <w:pPr>
              <w:pStyle w:val="Compact"/>
              <w:jc w:val="left"/>
            </w:pPr>
            <w:r>
              <w:t xml:space="preserve">Collected from Al-Mansour Intake, Baghdad</w:t>
            </w:r>
          </w:p>
        </w:tc>
        <w:tc>
          <w:tcPr/>
          <w:p>
            <w:pPr>
              <w:pStyle w:val="Compact"/>
              <w:jc w:val="left"/>
            </w:pPr>
            <w:r>
              <w:t xml:space="preserve">12 Liters</w:t>
            </w:r>
          </w:p>
        </w:tc>
      </w:tr>
      <w:tr>
        <w:tc>
          <w:tcPr/>
          <w:p>
            <w:pPr>
              <w:pStyle w:val="Compact"/>
              <w:jc w:val="left"/>
            </w:pPr>
            <w:r>
              <w:t xml:space="preserve">Coagulant A</w:t>
            </w:r>
          </w:p>
        </w:tc>
        <w:tc>
          <w:tcPr/>
          <w:p>
            <w:pPr>
              <w:pStyle w:val="Compact"/>
              <w:jc w:val="left"/>
            </w:pPr>
            <w:r>
              <w:t xml:space="preserve">Polyaluminum Chloride (PACl), 30% solids</w:t>
            </w:r>
          </w:p>
        </w:tc>
        <w:tc>
          <w:tcPr/>
          <w:p>
            <w:pPr>
              <w:pStyle w:val="Compact"/>
              <w:jc w:val="left"/>
            </w:pPr>
            <w:r>
              <w:t xml:space="preserve">500 mL</w:t>
            </w:r>
          </w:p>
        </w:tc>
      </w:tr>
      <w:tr>
        <w:tc>
          <w:tcPr/>
          <w:p>
            <w:pPr>
              <w:pStyle w:val="Compact"/>
              <w:jc w:val="left"/>
            </w:pPr>
            <w:r>
              <w:t xml:space="preserve">Coagulant B</w:t>
            </w:r>
          </w:p>
        </w:tc>
        <w:tc>
          <w:tcPr/>
          <w:p>
            <w:pPr>
              <w:pStyle w:val="Compact"/>
              <w:jc w:val="left"/>
            </w:pPr>
            <w:r>
              <w:t xml:space="preserve">Moringa Oleifera Extract (Local Natural Coagulant)</w:t>
            </w:r>
          </w:p>
        </w:tc>
        <w:tc>
          <w:tcPr/>
          <w:p>
            <w:pPr>
              <w:pStyle w:val="Compact"/>
              <w:jc w:val="left"/>
            </w:pPr>
            <w:r>
              <w:t xml:space="preserve">200 mL</w:t>
            </w:r>
          </w:p>
        </w:tc>
      </w:tr>
      <w:tr>
        <w:tc>
          <w:tcPr/>
          <w:p>
            <w:pPr>
              <w:pStyle w:val="Compact"/>
              <w:jc w:val="left"/>
            </w:pPr>
            <w:r>
              <w:t xml:space="preserve">Turbidimeter</w:t>
            </w:r>
          </w:p>
        </w:tc>
        <w:tc>
          <w:tcPr/>
          <w:p>
            <w:pPr>
              <w:pStyle w:val="Compact"/>
              <w:jc w:val="left"/>
            </w:pPr>
            <w:r>
              <w:t xml:space="preserve">Calibrated to NTU standards</w:t>
            </w:r>
          </w:p>
        </w:tc>
        <w:tc>
          <w:tcPr/>
          <w:p>
            <w:pPr>
              <w:pStyle w:val="Compact"/>
              <w:jc w:val="left"/>
            </w:pPr>
            <w:r>
              <w:t xml:space="preserve">1 Unit</w:t>
            </w:r>
          </w:p>
        </w:tc>
      </w:tr>
      <w:tr>
        <w:tc>
          <w:tcPr/>
          <w:p>
            <w:pPr>
              <w:pStyle w:val="Compact"/>
              <w:jc w:val="left"/>
            </w:pPr>
            <w:r>
              <w:t xml:space="preserve">pH Meter</w:t>
            </w:r>
          </w:p>
        </w:tc>
        <w:tc>
          <w:tcPr/>
          <w:p>
            <w:pPr>
              <w:pStyle w:val="Compact"/>
              <w:jc w:val="left"/>
            </w:pPr>
            <w:r>
              <w:t xml:space="preserve">High-precision, temperature compensated</w:t>
            </w:r>
          </w:p>
        </w:tc>
        <w:tc>
          <w:tcPr/>
          <w:p>
            <w:pPr>
              <w:pStyle w:val="Compact"/>
              <w:jc w:val="left"/>
            </w:pPr>
            <w:r>
              <w:t xml:space="preserve">1 Unit</w:t>
            </w:r>
          </w:p>
        </w:tc>
      </w:tr>
      <w:tr>
        <w:tc>
          <w:tcPr/>
          <w:p>
            <w:pPr>
              <w:pStyle w:val="Compact"/>
              <w:jc w:val="left"/>
            </w:pPr>
            <w:r>
              <w:t xml:space="preserve">Beakers</w:t>
            </w:r>
          </w:p>
        </w:tc>
        <w:tc>
          <w:tcPr/>
          <w:p>
            <w:pPr>
              <w:pStyle w:val="Compact"/>
              <w:jc w:val="left"/>
            </w:pPr>
            <w:r>
              <w:t xml:space="preserve">1000 mL, borosilicate glass</w:t>
            </w:r>
          </w:p>
        </w:tc>
        <w:tc>
          <w:tcPr/>
          <w:p>
            <w:pPr>
              <w:pStyle w:val="Compact"/>
              <w:jc w:val="left"/>
            </w:pPr>
            <w:r>
              <w:t xml:space="preserve">6 Units</w:t>
            </w:r>
          </w:p>
        </w:tc>
      </w:tr>
    </w:tbl>
    <w:bookmarkEnd w:id="24"/>
    <w:bookmarkStart w:id="28" w:name="experimental-procedure"/>
    <w:p>
      <w:pPr>
        <w:pStyle w:val="Heading2"/>
      </w:pPr>
      <w:r>
        <w:t xml:space="preserve">5. Experimental Procedure</w:t>
      </w:r>
    </w:p>
    <w:bookmarkStart w:id="25" w:name="sample-preparation"/>
    <w:p>
      <w:pPr>
        <w:pStyle w:val="Heading3"/>
      </w:pPr>
      <w:r>
        <w:t xml:space="preserve">5.1 Sample Preparation</w:t>
      </w:r>
    </w:p>
    <w:p>
      <w:pPr>
        <w:pStyle w:val="FirstParagraph"/>
      </w:pPr>
      <w:r>
        <w:t xml:space="preserve">The Chemical Engineer must collect raw water samples from the designated intake point in Baghdad early in the morning to ensure consistency. Samples must be transported in dark, sealed containers to prevent algal growth. Upon arrival at the laboratory, the initial turbidity, pH, temperature, and conductivity must be recorded. The water temperature in Baghdad can significantly affect reaction kinetics; therefore, all experiments must be conducted at a controlled temperature of 25°C ± 1°C.</w:t>
      </w:r>
    </w:p>
    <w:bookmarkEnd w:id="25"/>
    <w:bookmarkStart w:id="26" w:name="jar-testing-protocol"/>
    <w:p>
      <w:pPr>
        <w:pStyle w:val="Heading3"/>
      </w:pPr>
      <w:r>
        <w:t xml:space="preserve">5.2 Jar Testing Protocol</w:t>
      </w:r>
    </w:p>
    <w:p>
      <w:pPr>
        <w:numPr>
          <w:ilvl w:val="0"/>
          <w:numId w:val="1002"/>
        </w:numPr>
        <w:pStyle w:val="Compact"/>
      </w:pPr>
      <w:r>
        <w:t xml:space="preserve">Fill six 1000 mL beakers with 1000 mL of raw water each.</w:t>
      </w:r>
    </w:p>
    <w:p>
      <w:pPr>
        <w:numPr>
          <w:ilvl w:val="0"/>
          <w:numId w:val="1002"/>
        </w:numPr>
        <w:pStyle w:val="Compact"/>
      </w:pPr>
      <w:r>
        <w:t xml:space="preserve">Place beakers on the jar tester paddles.</w:t>
      </w:r>
    </w:p>
    <w:p>
      <w:pPr>
        <w:numPr>
          <w:ilvl w:val="0"/>
          <w:numId w:val="1002"/>
        </w:numPr>
        <w:pStyle w:val="Compact"/>
      </w:pPr>
      <w:r>
        <w:t xml:space="preserve">Set the rapid mix speed to 100 RPM for 1 minute.</w:t>
      </w:r>
    </w:p>
    <w:p>
      <w:pPr>
        <w:numPr>
          <w:ilvl w:val="0"/>
          <w:numId w:val="1002"/>
        </w:numPr>
        <w:pStyle w:val="Compact"/>
      </w:pPr>
      <w:r>
        <w:t xml:space="preserve">Add varying dosages of PACl to the beakers as follows:</w:t>
      </w:r>
    </w:p>
    <w:p>
      <w:pPr>
        <w:numPr>
          <w:ilvl w:val="1"/>
          <w:numId w:val="1003"/>
        </w:numPr>
        <w:pStyle w:val="Compact"/>
      </w:pPr>
      <w:r>
        <w:t xml:space="preserve">Beaker 1: 10 mg/L</w:t>
      </w:r>
    </w:p>
    <w:p>
      <w:pPr>
        <w:numPr>
          <w:ilvl w:val="1"/>
          <w:numId w:val="1003"/>
        </w:numPr>
        <w:pStyle w:val="Compact"/>
      </w:pPr>
      <w:r>
        <w:t xml:space="preserve">Beaker 2: 20 mg/L</w:t>
      </w:r>
    </w:p>
    <w:p>
      <w:pPr>
        <w:numPr>
          <w:ilvl w:val="1"/>
          <w:numId w:val="1003"/>
        </w:numPr>
        <w:pStyle w:val="Compact"/>
      </w:pPr>
      <w:r>
        <w:t xml:space="preserve">Beaker 3: 30 mg/L</w:t>
      </w:r>
    </w:p>
    <w:p>
      <w:pPr>
        <w:numPr>
          <w:ilvl w:val="1"/>
          <w:numId w:val="1003"/>
        </w:numPr>
        <w:pStyle w:val="Compact"/>
      </w:pPr>
      <w:r>
        <w:t xml:space="preserve">Beaker 4: 40 mg/L</w:t>
      </w:r>
    </w:p>
    <w:p>
      <w:pPr>
        <w:numPr>
          <w:ilvl w:val="1"/>
          <w:numId w:val="1003"/>
        </w:numPr>
        <w:pStyle w:val="Compact"/>
      </w:pPr>
      <w:r>
        <w:t xml:space="preserve">Beaker 5: 50 mg/L</w:t>
      </w:r>
    </w:p>
    <w:p>
      <w:pPr>
        <w:numPr>
          <w:ilvl w:val="1"/>
          <w:numId w:val="1003"/>
        </w:numPr>
        <w:pStyle w:val="Compact"/>
      </w:pPr>
      <w:r>
        <w:t xml:space="preserve">Beaker 6: Control (No coagulant)</w:t>
      </w:r>
    </w:p>
    <w:p>
      <w:pPr>
        <w:numPr>
          <w:ilvl w:val="0"/>
          <w:numId w:val="1002"/>
        </w:numPr>
        <w:pStyle w:val="Compact"/>
      </w:pPr>
      <w:r>
        <w:t xml:space="preserve">Immediately after addition, reduce speed to 30 RPM for 15 minutes (flocculation phase).</w:t>
      </w:r>
    </w:p>
    <w:p>
      <w:pPr>
        <w:numPr>
          <w:ilvl w:val="0"/>
          <w:numId w:val="1002"/>
        </w:numPr>
        <w:pStyle w:val="Compact"/>
      </w:pPr>
      <w:r>
        <w:t xml:space="preserve">Stop the paddles and allow flocs to settle for 30 minutes.</w:t>
      </w:r>
    </w:p>
    <w:bookmarkEnd w:id="26"/>
    <w:bookmarkStart w:id="27" w:name="data-collection"/>
    <w:p>
      <w:pPr>
        <w:pStyle w:val="Heading3"/>
      </w:pPr>
      <w:r>
        <w:t xml:space="preserve">5.3 Data Collection</w:t>
      </w:r>
    </w:p>
    <w:p>
      <w:pPr>
        <w:pStyle w:val="FirstParagraph"/>
      </w:pPr>
      <w:r>
        <w:t xml:space="preserve">After the settling period, the Chemical Engineer must carefully withdraw supernatant samples from 2 cm below the surface using a pipette. Measure the turbidity (NTU) and pH of each sample. Record the visual appearance of the flocs (size, density, and settling rate). This data is crucial for determining the cost-effective dosage that meets Iraqi drinking water standards.</w:t>
      </w:r>
    </w:p>
    <w:bookmarkEnd w:id="27"/>
    <w:bookmarkEnd w:id="28"/>
    <w:bookmarkStart w:id="29" w:name="data-analysis-and-reporting"/>
    <w:p>
      <w:pPr>
        <w:pStyle w:val="Heading2"/>
      </w:pPr>
      <w:r>
        <w:t xml:space="preserve">6. Data Analysis and Reporting</w:t>
      </w:r>
    </w:p>
    <w:p>
      <w:pPr>
        <w:pStyle w:val="FirstParagraph"/>
      </w:pPr>
      <w:r>
        <w:t xml:space="preserve">The collected data must be plotted to determine the optimal coagulant dosage. The Chemical Engineer should analyze the relationship between dosage and residual turbidity. Special attention must be paid to the pH shift caused by the coagulant, as the alkalinity of Tigris water in Baghdad varies seasonally. The final report must include recommendations for operational adjustments at the Baghdad water treatment plants, considering local supply chain constraints for chemicals.</w:t>
      </w:r>
    </w:p>
    <w:bookmarkEnd w:id="29"/>
    <w:bookmarkStart w:id="30" w:name="conclusion"/>
    <w:p>
      <w:pPr>
        <w:pStyle w:val="Heading2"/>
      </w:pPr>
      <w:r>
        <w:t xml:space="preserve">7. Conclusion</w:t>
      </w:r>
    </w:p>
    <w:p>
      <w:pPr>
        <w:pStyle w:val="FirstParagraph"/>
      </w:pPr>
      <w:r>
        <w:t xml:space="preserve">This Experiment Protocol provides a standardized framework for Chemical Engineers in Iraq Baghdad to address critical water quality issues. By following these steps, engineers can ensure the delivery of safe, potable water while optimizing resource usage in a challenging environmental context.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Water Treatment Optimization for Baghdad Municipal Supply</dc:title>
  <dc:creator/>
  <dc:language>en</dc:language>
  <cp:keywords/>
  <dcterms:created xsi:type="dcterms:W3CDTF">2026-10-10T06:20:39Z</dcterms:created>
  <dcterms:modified xsi:type="dcterms:W3CDTF">2026-10-10T06:20:39Z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