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Water</w:t>
      </w:r>
      <w:r>
        <w:t xml:space="preserve"> </w:t>
      </w:r>
      <w:r>
        <w:t xml:space="preserve">Desalination</w:t>
      </w:r>
      <w:r>
        <w:t xml:space="preserve"> </w:t>
      </w:r>
      <w:r>
        <w:t xml:space="preserve">and</w:t>
      </w:r>
      <w:r>
        <w:t xml:space="preserve"> </w:t>
      </w:r>
      <w:r>
        <w:t xml:space="preserve">Purification</w:t>
      </w:r>
    </w:p>
    <w:bookmarkStart w:id="20" w:name="X14692a059cda969bcbf234f9e8019a17ceed2ae"/>
    <w:p>
      <w:pPr>
        <w:pStyle w:val="Heading1"/>
      </w:pPr>
      <w:r>
        <w:t xml:space="preserve">Experiment Protocol: Advanced Membrane Filtration for Arid Climate Water Treatment</w:t>
      </w:r>
    </w:p>
    <w:p>
      <w:pPr>
        <w:pStyle w:val="FirstParagraph"/>
      </w:pPr>
      <w:r>
        <w:rPr>
          <w:bCs/>
          <w:b/>
        </w:rPr>
        <w:t xml:space="preserve">Document ID:</w:t>
      </w:r>
      <w:r>
        <w:t xml:space="preserve"> </w:t>
      </w:r>
      <w:r>
        <w:t xml:space="preserve">CP-JER-2023-045</w:t>
      </w:r>
    </w:p>
    <w:p>
      <w:pPr>
        <w:pStyle w:val="BodyText"/>
      </w:pPr>
      <w:r>
        <w:rPr>
          <w:bCs/>
          <w:b/>
        </w:rPr>
        <w:t xml:space="preserve">Location:</w:t>
      </w:r>
      <w:r>
        <w:t xml:space="preserve"> </w:t>
      </w:r>
      <w:r>
        <w:t xml:space="preserve">Advanced Materials Laboratory, Jerusalem, Israel</w:t>
      </w:r>
    </w:p>
    <w:p>
      <w:pPr>
        <w:pStyle w:val="BodyText"/>
      </w:pPr>
      <w:r>
        <w:rPr>
          <w:bCs/>
          <w:b/>
        </w:rPr>
        <w:t xml:space="preserve">Lead Chemical Engineer:</w:t>
      </w:r>
      <w:r>
        <w:t xml:space="preserve"> </w:t>
      </w:r>
      <w:r>
        <w:t xml:space="preserve">[Name Redacted]</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Approved for Execution</w:t>
      </w:r>
    </w:p>
    <w:bookmarkEnd w:id="20"/>
    <w:bookmarkStart w:id="21" w:name="objective-and-scope"/>
    <w:p>
      <w:pPr>
        <w:pStyle w:val="Heading2"/>
      </w:pPr>
      <w:r>
        <w:t xml:space="preserve">1. Objective and Scope</w:t>
      </w:r>
    </w:p>
    <w:p>
      <w:pPr>
        <w:pStyle w:val="FirstParagraph"/>
      </w:pPr>
      <w:r>
        <w:t xml:space="preserve">This Experiment Protocol outlines the standardized procedures for testing novel graphene-oxide composite membranes designed for high-efficiency desalination. Given the geographical and climatic context of</w:t>
      </w:r>
      <w:r>
        <w:t xml:space="preserve"> </w:t>
      </w:r>
      <w:r>
        <w:rPr>
          <w:bCs/>
          <w:b/>
        </w:rPr>
        <w:t xml:space="preserve">Israel Jerusalem</w:t>
      </w:r>
      <w:r>
        <w:t xml:space="preserve">, where water scarcity is a critical national challenge, this experiment aims to evaluate the viability of next-generation filtration technologies under conditions simulating local brackish groundwater sources.</w:t>
      </w:r>
    </w:p>
    <w:p>
      <w:pPr>
        <w:pStyle w:val="BodyText"/>
      </w:pPr>
      <w:r>
        <w:t xml:space="preserve">The primary objective is to determine the salt rejection rate, water flux, and long-term fouling resistance of the prototype membranes. This protocol is designed to be executed by a qualified</w:t>
      </w:r>
      <w:r>
        <w:t xml:space="preserve"> </w:t>
      </w:r>
      <w:r>
        <w:rPr>
          <w:bCs/>
          <w:b/>
        </w:rPr>
        <w:t xml:space="preserve">Chemical Engineer</w:t>
      </w:r>
      <w:r>
        <w:t xml:space="preserve"> </w:t>
      </w:r>
      <w:r>
        <w:t xml:space="preserve">or a team of engineers adhering to strict safety and quality control measures.</w:t>
      </w:r>
    </w:p>
    <w:bookmarkEnd w:id="21"/>
    <w:bookmarkStart w:id="24" w:name="Xc1bf6019d7c7f546cd756b019a9b2d8bdab0c79"/>
    <w:p>
      <w:pPr>
        <w:pStyle w:val="Heading2"/>
      </w:pPr>
      <w:r>
        <w:t xml:space="preserve">2. Regulatory Compliance and Safety Standards</w:t>
      </w:r>
    </w:p>
    <w:p>
      <w:pPr>
        <w:pStyle w:val="FirstParagraph"/>
      </w:pPr>
      <w:r>
        <w:t xml:space="preserve">All procedures within this</w:t>
      </w:r>
      <w:r>
        <w:t xml:space="preserve"> </w:t>
      </w:r>
      <w:r>
        <w:rPr>
          <w:bCs/>
          <w:b/>
        </w:rPr>
        <w:t xml:space="preserve">Experiment Protocol</w:t>
      </w:r>
      <w:r>
        <w:t xml:space="preserve"> </w:t>
      </w:r>
      <w:r>
        <w:t xml:space="preserve">must comply with the regulations set forth by the Israeli Ministry of Health and the Ministry of Environmental Protection. The laboratory environment in Jerusalem must maintain ISO 9001 standards for quality management.</w:t>
      </w:r>
    </w:p>
    <w:p>
      <w:pPr>
        <w:pStyle w:val="BodyText"/>
      </w:pPr>
      <w:r>
        <w:rPr>
          <w:bCs/>
          <w:b/>
        </w:rPr>
        <w:t xml:space="preserve">SAFETY ALERT:</w:t>
      </w:r>
      <w:r>
        <w:t xml:space="preserve"> </w:t>
      </w:r>
      <w:r>
        <w:t xml:space="preserve">This experiment involves high-pressure systems and chemical reagents. Only personnel certified in chemical safety and pressure vessel operation may participate. Personal Protective Equipment (PPE) is mandatory at all times.</w:t>
      </w:r>
    </w:p>
    <w:bookmarkStart w:id="22" w:name="personal-protective-equipment-ppe"/>
    <w:p>
      <w:pPr>
        <w:pStyle w:val="Heading3"/>
      </w:pPr>
      <w:r>
        <w:t xml:space="preserve">2.1 Personal Protective Equipment (PPE)</w:t>
      </w:r>
    </w:p>
    <w:p>
      <w:pPr>
        <w:numPr>
          <w:ilvl w:val="0"/>
          <w:numId w:val="1001"/>
        </w:numPr>
        <w:pStyle w:val="Compact"/>
      </w:pPr>
      <w:r>
        <w:t xml:space="preserve">ANSI Z87.1 certified safety goggles.</w:t>
      </w:r>
    </w:p>
    <w:p>
      <w:pPr>
        <w:numPr>
          <w:ilvl w:val="0"/>
          <w:numId w:val="1001"/>
        </w:numPr>
        <w:pStyle w:val="Compact"/>
      </w:pPr>
      <w:r>
        <w:t xml:space="preserve">Nitrile gloves (chemical resistant).</w:t>
      </w:r>
    </w:p>
    <w:p>
      <w:pPr>
        <w:numPr>
          <w:ilvl w:val="0"/>
          <w:numId w:val="1001"/>
        </w:numPr>
        <w:pStyle w:val="Compact"/>
      </w:pPr>
      <w:r>
        <w:t xml:space="preserve">Lab coat (flame retardant).</w:t>
      </w:r>
    </w:p>
    <w:p>
      <w:pPr>
        <w:numPr>
          <w:ilvl w:val="0"/>
          <w:numId w:val="1001"/>
        </w:numPr>
        <w:pStyle w:val="Compact"/>
      </w:pPr>
      <w:r>
        <w:t xml:space="preserve">Closed-toe shoes.</w:t>
      </w:r>
    </w:p>
    <w:bookmarkEnd w:id="22"/>
    <w:bookmarkStart w:id="23" w:name="hazardous-materials"/>
    <w:p>
      <w:pPr>
        <w:pStyle w:val="Heading3"/>
      </w:pPr>
      <w:r>
        <w:t xml:space="preserve">2.2 Hazardous Materials</w:t>
      </w:r>
    </w:p>
    <w:p>
      <w:pPr>
        <w:pStyle w:val="FirstParagraph"/>
      </w:pPr>
      <w:r>
        <w:t xml:space="preserve">The feed solution will contain synthetic brine simulating the mineral composition of Judean Mountains aquifers. While non-toxic, the high salinity and potential use of cleaning agents (e.g., sodium hypochlorite) require careful handling.</w:t>
      </w:r>
    </w:p>
    <w:bookmarkEnd w:id="23"/>
    <w:bookmarkEnd w:id="24"/>
    <w:bookmarkStart w:id="25" w:name="materials-and-equipment"/>
    <w:p>
      <w:pPr>
        <w:pStyle w:val="Heading2"/>
      </w:pPr>
      <w:r>
        <w:t xml:space="preserve">3. Materials and Equipment</w:t>
      </w:r>
    </w:p>
    <w:p>
      <w:pPr>
        <w:pStyle w:val="FirstParagraph"/>
      </w:pPr>
      <w:r>
        <w:t xml:space="preserve">The following equipment must be calibrated and verified prior to the commencement of the experiment. The</w:t>
      </w:r>
      <w:r>
        <w:t xml:space="preserve"> </w:t>
      </w:r>
      <w:r>
        <w:rPr>
          <w:bCs/>
          <w:b/>
        </w:rPr>
        <w:t xml:space="preserve">Chemical Engineer</w:t>
      </w:r>
      <w:r>
        <w:t xml:space="preserve"> </w:t>
      </w:r>
      <w:r>
        <w:t xml:space="preserve">is responsible for verifying the calibration certificates.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High-Pressure Pump</w:t>
            </w:r>
          </w:p>
        </w:tc>
        <w:tc>
          <w:tcPr/>
          <w:p>
            <w:pPr>
              <w:pStyle w:val="Compact"/>
              <w:jc w:val="left"/>
            </w:pPr>
            <w:r>
              <w:t xml:space="preserve">Capable of 0-100 bar, variable flow rate</w:t>
            </w:r>
          </w:p>
        </w:tc>
        <w:tc>
          <w:tcPr/>
          <w:p>
            <w:pPr>
              <w:pStyle w:val="Compact"/>
              <w:jc w:val="left"/>
            </w:pPr>
            <w:r>
              <w:t xml:space="preserve">1</w:t>
            </w:r>
          </w:p>
        </w:tc>
      </w:tr>
      <w:tr>
        <w:tc>
          <w:tcPr/>
          <w:p>
            <w:pPr>
              <w:pStyle w:val="Compact"/>
              <w:jc w:val="left"/>
            </w:pPr>
            <w:r>
              <w:t xml:space="preserve">Membrane Module</w:t>
            </w:r>
          </w:p>
        </w:tc>
        <w:tc>
          <w:tcPr/>
          <w:p>
            <w:pPr>
              <w:pStyle w:val="Compact"/>
              <w:jc w:val="left"/>
            </w:pPr>
            <w:r>
              <w:t xml:space="preserve">Flat-sheet holder, active area 100 cm²</w:t>
            </w:r>
          </w:p>
        </w:tc>
        <w:tc>
          <w:tcPr/>
          <w:p>
            <w:pPr>
              <w:pStyle w:val="Compact"/>
              <w:jc w:val="left"/>
            </w:pPr>
            <w:r>
              <w:t xml:space="preserve">2</w:t>
            </w:r>
          </w:p>
        </w:tc>
      </w:tr>
      <w:tr>
        <w:tc>
          <w:tcPr/>
          <w:p>
            <w:pPr>
              <w:pStyle w:val="Compact"/>
              <w:jc w:val="left"/>
            </w:pPr>
            <w:r>
              <w:t xml:space="preserve">Conductivity Meter</w:t>
            </w:r>
          </w:p>
        </w:tc>
        <w:tc>
          <w:tcPr/>
          <w:p>
            <w:pPr>
              <w:pStyle w:val="Compact"/>
              <w:jc w:val="left"/>
            </w:pPr>
            <w:r>
              <w:t xml:space="preserve">Range: 0-200 mS/cm, accuracy ±0.5%</w:t>
            </w:r>
          </w:p>
        </w:tc>
        <w:tc>
          <w:tcPr/>
          <w:p>
            <w:pPr>
              <w:pStyle w:val="Compact"/>
              <w:jc w:val="left"/>
            </w:pPr>
            <w:r>
              <w:t xml:space="preserve">2</w:t>
            </w:r>
          </w:p>
        </w:tc>
      </w:tr>
      <w:tr>
        <w:tc>
          <w:tcPr/>
          <w:p>
            <w:pPr>
              <w:pStyle w:val="Compact"/>
              <w:jc w:val="left"/>
            </w:pPr>
            <w:r>
              <w:t xml:space="preserve">Flow Meter</w:t>
            </w:r>
          </w:p>
        </w:tc>
        <w:tc>
          <w:tcPr/>
          <w:p>
            <w:pPr>
              <w:pStyle w:val="Compact"/>
              <w:jc w:val="left"/>
            </w:pPr>
            <w:r>
              <w:t xml:space="preserve">Digital, range 0-50 L/h</w:t>
            </w:r>
          </w:p>
        </w:tc>
        <w:tc>
          <w:tcPr/>
          <w:p>
            <w:pPr>
              <w:pStyle w:val="Compact"/>
              <w:jc w:val="left"/>
            </w:pPr>
            <w:r>
              <w:t xml:space="preserve">1</w:t>
            </w:r>
          </w:p>
        </w:tc>
      </w:tr>
      <w:tr>
        <w:tc>
          <w:tcPr/>
          <w:p>
            <w:pPr>
              <w:pStyle w:val="Compact"/>
              <w:jc w:val="left"/>
            </w:pPr>
            <w:r>
              <w:t xml:space="preserve">Feed Solution</w:t>
            </w:r>
          </w:p>
        </w:tc>
        <w:tc>
          <w:tcPr/>
          <w:p>
            <w:pPr>
              <w:pStyle w:val="Compact"/>
              <w:jc w:val="left"/>
            </w:pPr>
            <w:r>
              <w:t xml:space="preserve">Synthetic brine (NaCl, CaCl₂, MgSO₄) mimicking Jerusalem aquifer profile</w:t>
            </w:r>
          </w:p>
        </w:tc>
        <w:tc>
          <w:tcPr/>
          <w:p>
            <w:pPr>
              <w:pStyle w:val="Compact"/>
              <w:jc w:val="left"/>
            </w:pPr>
            <w:r>
              <w:t xml:space="preserve">50 L</w:t>
            </w:r>
          </w:p>
        </w:tc>
      </w:tr>
      <w:tr>
        <w:tc>
          <w:tcPr/>
          <w:p>
            <w:pPr>
              <w:pStyle w:val="Compact"/>
              <w:jc w:val="left"/>
            </w:pPr>
            <w:r>
              <w:t xml:space="preserve">Graphene-Oxide Membranes</w:t>
            </w:r>
          </w:p>
        </w:tc>
        <w:tc>
          <w:tcPr/>
          <w:p>
            <w:pPr>
              <w:pStyle w:val="Compact"/>
              <w:jc w:val="left"/>
            </w:pPr>
            <w:r>
              <w:t xml:space="preserve">Prototype Batch #GO-2023-J</w:t>
            </w:r>
          </w:p>
        </w:tc>
        <w:tc>
          <w:tcPr/>
          <w:p>
            <w:pPr>
              <w:pStyle w:val="Compact"/>
              <w:jc w:val="left"/>
            </w:pPr>
            <w:r>
              <w:t xml:space="preserve">4</w:t>
            </w:r>
          </w:p>
        </w:tc>
      </w:tr>
    </w:tbl>
    <w:bookmarkEnd w:id="25"/>
    <w:bookmarkStart w:id="30" w:name="experimental-procedure"/>
    <w:p>
      <w:pPr>
        <w:pStyle w:val="Heading2"/>
      </w:pPr>
      <w:r>
        <w:t xml:space="preserve">4. Experimental Procedure</w:t>
      </w:r>
    </w:p>
    <w:p>
      <w:pPr>
        <w:pStyle w:val="FirstParagraph"/>
      </w:pPr>
      <w:r>
        <w:t xml:space="preserve">The</w:t>
      </w:r>
      <w:r>
        <w:t xml:space="preserve"> </w:t>
      </w:r>
      <w:r>
        <w:rPr>
          <w:bCs/>
          <w:b/>
        </w:rPr>
        <w:t xml:space="preserve">Chemical Engineer</w:t>
      </w:r>
      <w:r>
        <w:t xml:space="preserve"> </w:t>
      </w:r>
      <w:r>
        <w:t xml:space="preserve">shall execute the following steps in the exact order specified. Deviations must be documented and justified.</w:t>
      </w:r>
    </w:p>
    <w:bookmarkStart w:id="26" w:name="system-preparation"/>
    <w:p>
      <w:pPr>
        <w:pStyle w:val="Heading3"/>
      </w:pPr>
      <w:r>
        <w:t xml:space="preserve">4.1 System Preparation</w:t>
      </w:r>
    </w:p>
    <w:p>
      <w:pPr>
        <w:numPr>
          <w:ilvl w:val="0"/>
          <w:numId w:val="1002"/>
        </w:numPr>
        <w:pStyle w:val="Compact"/>
      </w:pPr>
      <w:r>
        <w:t xml:space="preserve">Inspect all tubing and fittings for leaks or wear.</w:t>
      </w:r>
    </w:p>
    <w:p>
      <w:pPr>
        <w:numPr>
          <w:ilvl w:val="0"/>
          <w:numId w:val="1002"/>
        </w:numPr>
        <w:pStyle w:val="Compact"/>
      </w:pPr>
      <w:r>
        <w:t xml:space="preserve">Install the graphene-oxide membrane into the flat-sheet holder, ensuring proper alignment and gasket sealing.</w:t>
      </w:r>
    </w:p>
    <w:p>
      <w:pPr>
        <w:numPr>
          <w:ilvl w:val="0"/>
          <w:numId w:val="1002"/>
        </w:numPr>
        <w:pStyle w:val="Compact"/>
      </w:pPr>
      <w:r>
        <w:t xml:space="preserve">Flush the system with deionized water for 15 minutes to remove any air bubbles and particulate matter.</w:t>
      </w:r>
    </w:p>
    <w:p>
      <w:pPr>
        <w:numPr>
          <w:ilvl w:val="0"/>
          <w:numId w:val="1002"/>
        </w:numPr>
        <w:pStyle w:val="Compact"/>
      </w:pPr>
      <w:r>
        <w:t xml:space="preserve">Verify that the conductivity meters are calibrated using standard KCl solutions.</w:t>
      </w:r>
    </w:p>
    <w:bookmarkEnd w:id="26"/>
    <w:bookmarkStart w:id="27" w:name="baseline-testing-deionized-water"/>
    <w:p>
      <w:pPr>
        <w:pStyle w:val="Heading3"/>
      </w:pPr>
      <w:r>
        <w:t xml:space="preserve">4.2 Baseline Testing (Deionized Water)</w:t>
      </w:r>
    </w:p>
    <w:p>
      <w:pPr>
        <w:numPr>
          <w:ilvl w:val="0"/>
          <w:numId w:val="1003"/>
        </w:numPr>
        <w:pStyle w:val="Compact"/>
      </w:pPr>
      <w:r>
        <w:t xml:space="preserve">Introduce deionized water into the feed tank.</w:t>
      </w:r>
    </w:p>
    <w:p>
      <w:pPr>
        <w:numPr>
          <w:ilvl w:val="0"/>
          <w:numId w:val="1003"/>
        </w:numPr>
        <w:pStyle w:val="Compact"/>
      </w:pPr>
      <w:r>
        <w:t xml:space="preserve">Gradually increase the transmembrane pressure (TMP) to 10 bar.</w:t>
      </w:r>
    </w:p>
    <w:p>
      <w:pPr>
        <w:numPr>
          <w:ilvl w:val="0"/>
          <w:numId w:val="1003"/>
        </w:numPr>
        <w:pStyle w:val="Compact"/>
      </w:pPr>
      <w:r>
        <w:t xml:space="preserve">Allow the system to stabilize for 30 minutes.</w:t>
      </w:r>
    </w:p>
    <w:p>
      <w:pPr>
        <w:numPr>
          <w:ilvl w:val="0"/>
          <w:numId w:val="1003"/>
        </w:numPr>
        <w:pStyle w:val="Compact"/>
      </w:pPr>
      <w:r>
        <w:t xml:space="preserve">Record the pure water flux (Jw) in L/m²·h.</w:t>
      </w:r>
    </w:p>
    <w:p>
      <w:pPr>
        <w:numPr>
          <w:ilvl w:val="0"/>
          <w:numId w:val="1003"/>
        </w:numPr>
        <w:pStyle w:val="Compact"/>
      </w:pPr>
      <w:r>
        <w:t xml:space="preserve">Repeat for pressures of 15, 20, and 25 bar.</w:t>
      </w:r>
    </w:p>
    <w:bookmarkEnd w:id="27"/>
    <w:bookmarkStart w:id="28" w:name="brine-filtration-test"/>
    <w:p>
      <w:pPr>
        <w:pStyle w:val="Heading3"/>
      </w:pPr>
      <w:r>
        <w:t xml:space="preserve">4.3 Brine Filtration Test</w:t>
      </w:r>
    </w:p>
    <w:p>
      <w:pPr>
        <w:numPr>
          <w:ilvl w:val="0"/>
          <w:numId w:val="1004"/>
        </w:numPr>
        <w:pStyle w:val="Compact"/>
      </w:pPr>
      <w:r>
        <w:t xml:space="preserve">Replace the feed solution with the synthetic brine simulating local Jerusalem groundwater conditions (TDS approx. 2000 mg/L).</w:t>
      </w:r>
    </w:p>
    <w:p>
      <w:pPr>
        <w:numPr>
          <w:ilvl w:val="0"/>
          <w:numId w:val="1004"/>
        </w:numPr>
        <w:pStyle w:val="Compact"/>
      </w:pPr>
      <w:r>
        <w:t xml:space="preserve">Set the TMP to 20 bar (operational target).</w:t>
      </w:r>
    </w:p>
    <w:p>
      <w:pPr>
        <w:numPr>
          <w:ilvl w:val="0"/>
          <w:numId w:val="1004"/>
        </w:numPr>
        <w:pStyle w:val="Compact"/>
      </w:pPr>
      <w:r>
        <w:t xml:space="preserve">Allow the system to stabilize for 45 minutes.</w:t>
      </w:r>
    </w:p>
    <w:p>
      <w:pPr>
        <w:numPr>
          <w:ilvl w:val="0"/>
          <w:numId w:val="1004"/>
        </w:numPr>
        <w:pStyle w:val="Compact"/>
      </w:pPr>
      <w:r>
        <w:t xml:space="preserve">Collect permeate samples every 15 minutes for the first hour, then hourly for 8 hours.</w:t>
      </w:r>
    </w:p>
    <w:p>
      <w:pPr>
        <w:numPr>
          <w:ilvl w:val="0"/>
          <w:numId w:val="1004"/>
        </w:numPr>
        <w:pStyle w:val="Compact"/>
      </w:pPr>
      <w:r>
        <w:t xml:space="preserve">Measure the conductivity of both the feed and permeate streams continuously.</w:t>
      </w:r>
    </w:p>
    <w:p>
      <w:pPr>
        <w:numPr>
          <w:ilvl w:val="0"/>
          <w:numId w:val="1004"/>
        </w:numPr>
        <w:pStyle w:val="Compact"/>
      </w:pPr>
      <w:r>
        <w:t xml:space="preserve">Calculate the salt rejection rate (R) using the formula: R = (1 - Cp/Cf) * 100%, where Cp is permeate concentration and Cf is feed concentration.</w:t>
      </w:r>
    </w:p>
    <w:bookmarkEnd w:id="28"/>
    <w:bookmarkStart w:id="29" w:name="fouling-assessment"/>
    <w:p>
      <w:pPr>
        <w:pStyle w:val="Heading3"/>
      </w:pPr>
      <w:r>
        <w:t xml:space="preserve">4.4 Fouling Assessment</w:t>
      </w:r>
    </w:p>
    <w:p>
      <w:pPr>
        <w:numPr>
          <w:ilvl w:val="0"/>
          <w:numId w:val="1005"/>
        </w:numPr>
        <w:pStyle w:val="Compact"/>
      </w:pPr>
      <w:r>
        <w:t xml:space="preserve">After the 8-hour filtration period, shut down the pump.</w:t>
      </w:r>
    </w:p>
    <w:p>
      <w:pPr>
        <w:numPr>
          <w:ilvl w:val="0"/>
          <w:numId w:val="1005"/>
        </w:numPr>
        <w:pStyle w:val="Compact"/>
      </w:pPr>
      <w:r>
        <w:t xml:space="preserve">Perform a chemical cleaning cycle using a mild alkaline solution (pH 10) for 30 minutes.</w:t>
      </w:r>
    </w:p>
    <w:p>
      <w:pPr>
        <w:numPr>
          <w:ilvl w:val="0"/>
          <w:numId w:val="1005"/>
        </w:numPr>
        <w:pStyle w:val="Compact"/>
      </w:pPr>
      <w:r>
        <w:t xml:space="preserve">Rinse with deionized water.</w:t>
      </w:r>
    </w:p>
    <w:p>
      <w:pPr>
        <w:numPr>
          <w:ilvl w:val="0"/>
          <w:numId w:val="1005"/>
        </w:numPr>
        <w:pStyle w:val="Compact"/>
      </w:pPr>
      <w:r>
        <w:t xml:space="preserve">Repeat the baseline testing (Section 4.2) to determine the flux recovery ratio.</w:t>
      </w:r>
    </w:p>
    <w:bookmarkEnd w:id="29"/>
    <w:bookmarkEnd w:id="30"/>
    <w:bookmarkStart w:id="31" w:name="data-analysis-and-reporting"/>
    <w:p>
      <w:pPr>
        <w:pStyle w:val="Heading2"/>
      </w:pPr>
      <w:r>
        <w:t xml:space="preserve">5. Data Analysis and Reporting</w:t>
      </w:r>
    </w:p>
    <w:p>
      <w:pPr>
        <w:pStyle w:val="FirstParagraph"/>
      </w:pPr>
      <w:r>
        <w:t xml:space="preserve">The</w:t>
      </w:r>
      <w:r>
        <w:t xml:space="preserve"> </w:t>
      </w:r>
      <w:r>
        <w:rPr>
          <w:bCs/>
          <w:b/>
        </w:rPr>
        <w:t xml:space="preserve">Chemical Engineer</w:t>
      </w:r>
      <w:r>
        <w:t xml:space="preserve"> </w:t>
      </w:r>
      <w:r>
        <w:t xml:space="preserve">is responsible for compiling all data into a comprehensive report. The analysis must include:</w:t>
      </w:r>
    </w:p>
    <w:p>
      <w:pPr>
        <w:numPr>
          <w:ilvl w:val="0"/>
          <w:numId w:val="1006"/>
        </w:numPr>
        <w:pStyle w:val="Compact"/>
      </w:pPr>
      <w:r>
        <w:t xml:space="preserve">Graphs of flux vs. pressure for both pure water and brine.</w:t>
      </w:r>
    </w:p>
    <w:p>
      <w:pPr>
        <w:numPr>
          <w:ilvl w:val="0"/>
          <w:numId w:val="1006"/>
        </w:numPr>
        <w:pStyle w:val="Compact"/>
      </w:pPr>
      <w:r>
        <w:t xml:space="preserve">Calculation of average salt rejection rates.</w:t>
      </w:r>
    </w:p>
    <w:p>
      <w:pPr>
        <w:numPr>
          <w:ilvl w:val="0"/>
          <w:numId w:val="1006"/>
        </w:numPr>
        <w:pStyle w:val="Compact"/>
      </w:pPr>
      <w:r>
        <w:t xml:space="preserve">Assessment of membrane fouling based on flux decline and recovery.</w:t>
      </w:r>
    </w:p>
    <w:p>
      <w:pPr>
        <w:numPr>
          <w:ilvl w:val="0"/>
          <w:numId w:val="1006"/>
        </w:numPr>
        <w:pStyle w:val="Compact"/>
      </w:pPr>
      <w:r>
        <w:t xml:space="preserve">Comparison of results with current commercial RO membranes used in Israeli desalination plants.</w:t>
      </w:r>
    </w:p>
    <w:p>
      <w:pPr>
        <w:pStyle w:val="FirstParagraph"/>
      </w:pPr>
      <w:r>
        <w:t xml:space="preserve">All raw data must be stored in the laboratory's secure server, adhering to data retention policies.</w:t>
      </w:r>
    </w:p>
    <w:bookmarkEnd w:id="31"/>
    <w:bookmarkStart w:id="32" w:name="waste-disposal"/>
    <w:p>
      <w:pPr>
        <w:pStyle w:val="Heading2"/>
      </w:pPr>
      <w:r>
        <w:t xml:space="preserve">6. Waste Disposal</w:t>
      </w:r>
    </w:p>
    <w:p>
      <w:pPr>
        <w:pStyle w:val="FirstParagraph"/>
      </w:pPr>
      <w:r>
        <w:t xml:space="preserve">All waste generated during this</w:t>
      </w:r>
      <w:r>
        <w:t xml:space="preserve"> </w:t>
      </w:r>
      <w:r>
        <w:rPr>
          <w:bCs/>
          <w:b/>
        </w:rPr>
        <w:t xml:space="preserve">Experiment Protocol</w:t>
      </w:r>
      <w:r>
        <w:t xml:space="preserve"> </w:t>
      </w:r>
      <w:r>
        <w:t xml:space="preserve">must be disposed of according to the regulations of the Jerusalem District Environmental Protection Office.</w:t>
      </w:r>
    </w:p>
    <w:p>
      <w:pPr>
        <w:numPr>
          <w:ilvl w:val="0"/>
          <w:numId w:val="1007"/>
        </w:numPr>
        <w:pStyle w:val="Compact"/>
      </w:pPr>
      <w:r>
        <w:t xml:space="preserve">Brine waste must be collected in designated containers and sent to an approved treatment facility.</w:t>
      </w:r>
    </w:p>
    <w:p>
      <w:pPr>
        <w:numPr>
          <w:ilvl w:val="0"/>
          <w:numId w:val="1007"/>
        </w:numPr>
        <w:pStyle w:val="Compact"/>
      </w:pPr>
      <w:r>
        <w:t xml:space="preserve">Chemical cleaning solutions must be neutralized before disposal.</w:t>
      </w:r>
    </w:p>
    <w:p>
      <w:pPr>
        <w:numPr>
          <w:ilvl w:val="0"/>
          <w:numId w:val="1007"/>
        </w:numPr>
        <w:pStyle w:val="Compact"/>
      </w:pPr>
      <w:r>
        <w:t xml:space="preserve">Used membranes must be disposed of as hazardous chemical waste.</w:t>
      </w:r>
    </w:p>
    <w:bookmarkEnd w:id="32"/>
    <w:bookmarkStart w:id="33" w:name="signatures"/>
    <w:p>
      <w:pPr>
        <w:pStyle w:val="Heading2"/>
      </w:pPr>
      <w:r>
        <w:t xml:space="preserve">7. Signatures</w:t>
      </w:r>
    </w:p>
    <w:p>
      <w:pPr>
        <w:pStyle w:val="FirstParagraph"/>
      </w:pPr>
      <w:r>
        <w:t xml:space="preserve">By signing below, the</w:t>
      </w:r>
      <w:r>
        <w:t xml:space="preserve"> </w:t>
      </w:r>
      <w:r>
        <w:rPr>
          <w:bCs/>
          <w:b/>
        </w:rPr>
        <w:t xml:space="preserve">Chemical Engineer</w:t>
      </w:r>
      <w:r>
        <w:t xml:space="preserve"> </w:t>
      </w:r>
      <w:r>
        <w:t xml:space="preserve">confirms that they have read, understood, and will adhere to this</w:t>
      </w:r>
      <w:r>
        <w:t xml:space="preserve"> </w:t>
      </w:r>
      <w:r>
        <w:rPr>
          <w:bCs/>
          <w:b/>
        </w:rPr>
        <w:t xml:space="preserve">Experiment Protocol</w:t>
      </w:r>
      <w:r>
        <w:t xml:space="preserve"> </w:t>
      </w:r>
      <w:r>
        <w:t xml:space="preserve">in the laboratory located in</w:t>
      </w:r>
      <w:r>
        <w:t xml:space="preserve"> </w:t>
      </w:r>
      <w:r>
        <w:rPr>
          <w:bCs/>
          <w:b/>
        </w:rPr>
        <w:t xml:space="preserve">Israel Jerusalem</w:t>
      </w:r>
      <w:r>
        <w:t xml:space="preserve">.</w:t>
      </w:r>
    </w:p>
    <w:p>
      <w:pPr>
        <w:pStyle w:val="BodyText"/>
      </w:pPr>
      <w:r>
        <w:rPr>
          <w:bCs/>
          <w:b/>
        </w:rPr>
        <w:t xml:space="preserve">Lead Engineer Signature:</w:t>
      </w:r>
      <w:r>
        <w:t xml:space="preserve"> </w:t>
      </w:r>
      <w:r>
        <w:t xml:space="preserve">__________________________</w:t>
      </w:r>
      <w:r>
        <w:t xml:space="preserve"> </w:t>
      </w:r>
      <w:r>
        <w:rPr>
          <w:bCs/>
          <w:b/>
        </w:rPr>
        <w:t xml:space="preserve">Date:</w:t>
      </w:r>
      <w:r>
        <w:t xml:space="preserve"> </w:t>
      </w:r>
      <w:r>
        <w:t xml:space="preserve">__________</w:t>
      </w:r>
    </w:p>
    <w:p>
      <w:pPr>
        <w:pStyle w:val="BodyText"/>
      </w:pPr>
      <w:r>
        <w:rPr>
          <w:bCs/>
          <w:b/>
        </w:rPr>
        <w:t xml:space="preserve">Supervisor Signature:</w:t>
      </w:r>
      <w:r>
        <w:t xml:space="preserve"> </w:t>
      </w:r>
      <w:r>
        <w:t xml:space="preserve">__________________________</w:t>
      </w:r>
      <w:r>
        <w:t xml:space="preserve"> </w:t>
      </w:r>
      <w:r>
        <w:rPr>
          <w:bCs/>
          <w:b/>
        </w:rPr>
        <w:t xml:space="preserve">Date:</w:t>
      </w:r>
      <w:r>
        <w:t xml:space="preserve"> </w:t>
      </w:r>
      <w:r>
        <w:t xml:space="preserve">__________</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Water Desalination and Purification</dc:title>
  <dc:creator/>
  <dc:language>en</dc:language>
  <cp:keywords/>
  <dcterms:created xsi:type="dcterms:W3CDTF">2026-10-10T02:10:12Z</dcterms:created>
  <dcterms:modified xsi:type="dcterms:W3CDTF">2026-10-10T02:10:12Z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