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Membrane</w:t>
      </w:r>
      <w:r>
        <w:t xml:space="preserve"> </w:t>
      </w:r>
      <w:r>
        <w:t xml:space="preserve">Desalination</w:t>
      </w:r>
      <w:r>
        <w:t xml:space="preserve"> </w:t>
      </w:r>
      <w:r>
        <w:t xml:space="preserve">Efficiency</w:t>
      </w:r>
    </w:p>
    <w:bookmarkStart w:id="20" w:name="X013168a1359bb0970cb9b974c8abad4e86a8acf"/>
    <w:p>
      <w:pPr>
        <w:pStyle w:val="Heading1"/>
      </w:pPr>
      <w:r>
        <w:t xml:space="preserve">Experiment Protocol: Advanced Membrane Desalination Efficiency</w:t>
      </w:r>
    </w:p>
    <w:p>
      <w:pPr>
        <w:pStyle w:val="FirstParagraph"/>
      </w:pPr>
      <w:r>
        <w:rPr>
          <w:bCs/>
          <w:b/>
        </w:rPr>
        <w:t xml:space="preserve">Location:</w:t>
      </w:r>
      <w:r>
        <w:t xml:space="preserve"> </w:t>
      </w:r>
      <w:r>
        <w:t xml:space="preserve">Tel Aviv, Israel</w:t>
      </w:r>
    </w:p>
    <w:p>
      <w:pPr>
        <w:pStyle w:val="BodyText"/>
      </w:pPr>
      <w:r>
        <w:rPr>
          <w:bCs/>
          <w:b/>
        </w:rPr>
        <w:t xml:space="preserve">Prepared by:</w:t>
      </w:r>
      <w:r>
        <w:t xml:space="preserve"> </w:t>
      </w:r>
      <w:r>
        <w:t xml:space="preserve">Senior Chemical Engineer</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testing a novel polyamide thin-film composite membrane designed for high-efficiency desalination. Given the critical water scarcity issues in Israel, particularly in the Tel Aviv metropolitan area, this experiment aims to evaluate the membrane's performance under conditions simulating Mediterranean seawater. The primary objective is to determine the salt rejection rate, water flux, and long-term stability of the membrane when operated by a Chemical Engineer in a controlled laboratory environment.</w:t>
      </w:r>
    </w:p>
    <w:p>
      <w:pPr>
        <w:pStyle w:val="BodyText"/>
      </w:pPr>
      <w:r>
        <w:t xml:space="preserve">The results of this experiment will contribute to the development of more sustainable water treatment technologies, aligning with Israel's national goals for water security and environmental sustainability.</w:t>
      </w:r>
    </w:p>
    <w:bookmarkEnd w:id="21"/>
    <w:bookmarkStart w:id="22" w:name="safety-and-regulatory-compliance"/>
    <w:p>
      <w:pPr>
        <w:pStyle w:val="Heading2"/>
      </w:pPr>
      <w:r>
        <w:t xml:space="preserve">2. Safety and Regulatory Compliance</w:t>
      </w:r>
    </w:p>
    <w:p>
      <w:pPr>
        <w:pStyle w:val="FirstParagraph"/>
      </w:pPr>
      <w:r>
        <w:t xml:space="preserve">All procedures must adhere to the safety standards set by the Israeli Ministry of Health and the local regulations of Tel Aviv. The Chemical Engineer responsible for this experiment must ensure that all personnel are trained in handling hazardous chemicals and operating high-pressure equipment.</w:t>
      </w:r>
    </w:p>
    <w:p>
      <w:pPr>
        <w:pStyle w:val="BodyText"/>
      </w:pPr>
      <w:r>
        <w:rPr>
          <w:bCs/>
          <w:b/>
        </w:rPr>
        <w:t xml:space="preserve">Warning:</w:t>
      </w:r>
      <w:r>
        <w:t xml:space="preserve"> </w:t>
      </w:r>
      <w:r>
        <w:t xml:space="preserve">High-pressure systems and chemical reagents are used in this experiment. Proper personal protective equipment (PPE), including lab coats, safety goggles, and gloves, must be worn at all times.</w:t>
      </w:r>
    </w:p>
    <w:p>
      <w:pPr>
        <w:pStyle w:val="BodyText"/>
      </w:pPr>
      <w:r>
        <w:t xml:space="preserve">In case of an emergency, the nearest safety shower and eyewash station must be accessible. The emergency contact number for the laboratory in Tel Aviv is 101.</w:t>
      </w:r>
    </w:p>
    <w:bookmarkEnd w:id="22"/>
    <w:bookmarkStart w:id="23" w:name="materials-and-equipment"/>
    <w:p>
      <w:pPr>
        <w:pStyle w:val="Heading2"/>
      </w:pPr>
      <w:r>
        <w:t xml:space="preserve">3.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Membrane Module</w:t>
            </w:r>
          </w:p>
        </w:tc>
        <w:tc>
          <w:tcPr/>
          <w:p>
            <w:pPr>
              <w:pStyle w:val="Compact"/>
              <w:jc w:val="left"/>
            </w:pPr>
            <w:r>
              <w:t xml:space="preserve">Spiral-wound, 10 cm diameter</w:t>
            </w:r>
          </w:p>
        </w:tc>
        <w:tc>
          <w:tcPr/>
          <w:p>
            <w:pPr>
              <w:pStyle w:val="Compact"/>
              <w:jc w:val="left"/>
            </w:pPr>
            <w:r>
              <w:t xml:space="preserve">2</w:t>
            </w:r>
          </w:p>
        </w:tc>
      </w:tr>
      <w:tr>
        <w:tc>
          <w:tcPr/>
          <w:p>
            <w:pPr>
              <w:pStyle w:val="Compact"/>
              <w:jc w:val="left"/>
            </w:pPr>
            <w:r>
              <w:t xml:space="preserve">Feed Solution</w:t>
            </w:r>
          </w:p>
        </w:tc>
        <w:tc>
          <w:tcPr/>
          <w:p>
            <w:pPr>
              <w:pStyle w:val="Compact"/>
              <w:jc w:val="left"/>
            </w:pPr>
            <w:r>
              <w:t xml:space="preserve">Simulated Mediterranean seawater (35,000 ppm TDS)</w:t>
            </w:r>
          </w:p>
        </w:tc>
        <w:tc>
          <w:tcPr/>
          <w:p>
            <w:pPr>
              <w:pStyle w:val="Compact"/>
              <w:jc w:val="left"/>
            </w:pPr>
            <w:r>
              <w:t xml:space="preserve">50 L</w:t>
            </w:r>
          </w:p>
        </w:tc>
      </w:tr>
      <w:tr>
        <w:tc>
          <w:tcPr/>
          <w:p>
            <w:pPr>
              <w:pStyle w:val="Compact"/>
              <w:jc w:val="left"/>
            </w:pPr>
            <w:r>
              <w:t xml:space="preserve">High-Pressure Pump</w:t>
            </w:r>
          </w:p>
        </w:tc>
        <w:tc>
          <w:tcPr/>
          <w:p>
            <w:pPr>
              <w:pStyle w:val="Compact"/>
              <w:jc w:val="left"/>
            </w:pPr>
            <w:r>
              <w:t xml:space="preserve">Capable of 60 bar</w:t>
            </w:r>
          </w:p>
        </w:tc>
        <w:tc>
          <w:tcPr/>
          <w:p>
            <w:pPr>
              <w:pStyle w:val="Compact"/>
              <w:jc w:val="left"/>
            </w:pPr>
            <w:r>
              <w:t xml:space="preserve">1</w:t>
            </w:r>
          </w:p>
        </w:tc>
      </w:tr>
      <w:tr>
        <w:tc>
          <w:tcPr/>
          <w:p>
            <w:pPr>
              <w:pStyle w:val="Compact"/>
              <w:jc w:val="left"/>
            </w:pPr>
            <w:r>
              <w:t xml:space="preserve">Conductivity Meter</w:t>
            </w:r>
          </w:p>
        </w:tc>
        <w:tc>
          <w:tcPr/>
          <w:p>
            <w:pPr>
              <w:pStyle w:val="Compact"/>
              <w:jc w:val="left"/>
            </w:pPr>
            <w:r>
              <w:t xml:space="preserve">Calibrated for 0-100 mS/cm</w:t>
            </w:r>
          </w:p>
        </w:tc>
        <w:tc>
          <w:tcPr/>
          <w:p>
            <w:pPr>
              <w:pStyle w:val="Compact"/>
              <w:jc w:val="left"/>
            </w:pPr>
            <w:r>
              <w:t xml:space="preserve">2</w:t>
            </w:r>
          </w:p>
        </w:tc>
      </w:tr>
      <w:tr>
        <w:tc>
          <w:tcPr/>
          <w:p>
            <w:pPr>
              <w:pStyle w:val="Compact"/>
              <w:jc w:val="left"/>
            </w:pPr>
            <w:r>
              <w:t xml:space="preserve">Flow Meter</w:t>
            </w:r>
          </w:p>
        </w:tc>
        <w:tc>
          <w:tcPr/>
          <w:p>
            <w:pPr>
              <w:pStyle w:val="Compact"/>
              <w:jc w:val="left"/>
            </w:pPr>
            <w:r>
              <w:t xml:space="preserve">Accurate to ±1%</w:t>
            </w:r>
          </w:p>
        </w:tc>
        <w:tc>
          <w:tcPr/>
          <w:p>
            <w:pPr>
              <w:pStyle w:val="Compact"/>
              <w:jc w:val="left"/>
            </w:pPr>
            <w:r>
              <w:t xml:space="preserve">1</w:t>
            </w:r>
          </w:p>
        </w:tc>
      </w:tr>
      <w:tr>
        <w:tc>
          <w:tcPr/>
          <w:p>
            <w:pPr>
              <w:pStyle w:val="Compact"/>
              <w:jc w:val="left"/>
            </w:pPr>
            <w:r>
              <w:t xml:space="preserve">Data Logger</w:t>
            </w:r>
          </w:p>
        </w:tc>
        <w:tc>
          <w:tcPr/>
          <w:p>
            <w:pPr>
              <w:pStyle w:val="Compact"/>
              <w:jc w:val="left"/>
            </w:pPr>
            <w:r>
              <w:t xml:space="preserve">For continuous monitoring</w:t>
            </w:r>
          </w:p>
        </w:tc>
        <w:tc>
          <w:tcPr/>
          <w:p>
            <w:pPr>
              <w:pStyle w:val="Compact"/>
              <w:jc w:val="left"/>
            </w:pPr>
            <w:r>
              <w:t xml:space="preserve">1</w:t>
            </w:r>
          </w:p>
        </w:tc>
      </w:tr>
    </w:tbl>
    <w:bookmarkEnd w:id="23"/>
    <w:bookmarkStart w:id="28" w:name="experimental-procedure"/>
    <w:p>
      <w:pPr>
        <w:pStyle w:val="Heading2"/>
      </w:pPr>
      <w:r>
        <w:t xml:space="preserve">4. Experimental Procedure</w:t>
      </w:r>
    </w:p>
    <w:bookmarkStart w:id="24" w:name="preparation"/>
    <w:p>
      <w:pPr>
        <w:pStyle w:val="Heading3"/>
      </w:pPr>
      <w:r>
        <w:t xml:space="preserve">4.1 Preparation</w:t>
      </w:r>
    </w:p>
    <w:p>
      <w:pPr>
        <w:pStyle w:val="FirstParagraph"/>
      </w:pPr>
      <w:r>
        <w:t xml:space="preserve">The Chemical Engineer must first prepare the simulated seawater by dissolving sodium chloride and other minor ions in deionized water to match the composition of Mediterranean seawater. The solution should be filtered through a 0.45 µm membrane to remove any particulate matter that could foul the test membrane.</w:t>
      </w:r>
    </w:p>
    <w:bookmarkEnd w:id="24"/>
    <w:bookmarkStart w:id="25" w:name="system-setup"/>
    <w:p>
      <w:pPr>
        <w:pStyle w:val="Heading3"/>
      </w:pPr>
      <w:r>
        <w:t xml:space="preserve">4.2 System Setup</w:t>
      </w:r>
    </w:p>
    <w:p>
      <w:pPr>
        <w:pStyle w:val="FirstParagraph"/>
      </w:pPr>
      <w:r>
        <w:t xml:space="preserve">Assemble the desalination system according to the manufacturer's instructions. Ensure all connections are tight and leak-free. Install the membrane module in the housing and connect the feed, permeate, and concentrate lines.</w:t>
      </w:r>
    </w:p>
    <w:bookmarkEnd w:id="25"/>
    <w:bookmarkStart w:id="26" w:name="operation"/>
    <w:p>
      <w:pPr>
        <w:pStyle w:val="Heading3"/>
      </w:pPr>
      <w:r>
        <w:t xml:space="preserve">4.3 Operation</w:t>
      </w:r>
    </w:p>
    <w:p>
      <w:pPr>
        <w:pStyle w:val="FirstParagraph"/>
      </w:pPr>
      <w:r>
        <w:t xml:space="preserve">Start the high-pressure pump and gradually increase the pressure to the desired operating level (e.g., 55 bar). Monitor the system for any leaks or abnormal behavior. Once stable, begin collecting permeate samples at regular intervals (e.g., every 30 minutes) for analysis.</w:t>
      </w:r>
    </w:p>
    <w:bookmarkEnd w:id="26"/>
    <w:bookmarkStart w:id="27" w:name="data-collection"/>
    <w:p>
      <w:pPr>
        <w:pStyle w:val="Heading3"/>
      </w:pPr>
      <w:r>
        <w:t xml:space="preserve">4.4 Data Collection</w:t>
      </w:r>
    </w:p>
    <w:p>
      <w:pPr>
        <w:pStyle w:val="FirstParagraph"/>
      </w:pPr>
      <w:r>
        <w:t xml:space="preserve">Record the following parameters continuously:</w:t>
      </w:r>
    </w:p>
    <w:p>
      <w:pPr>
        <w:numPr>
          <w:ilvl w:val="0"/>
          <w:numId w:val="1001"/>
        </w:numPr>
        <w:pStyle w:val="Compact"/>
      </w:pPr>
      <w:r>
        <w:t xml:space="preserve">Feed pressure</w:t>
      </w:r>
    </w:p>
    <w:p>
      <w:pPr>
        <w:numPr>
          <w:ilvl w:val="0"/>
          <w:numId w:val="1001"/>
        </w:numPr>
        <w:pStyle w:val="Compact"/>
      </w:pPr>
      <w:r>
        <w:t xml:space="preserve">Permeate flow rate</w:t>
      </w:r>
    </w:p>
    <w:p>
      <w:pPr>
        <w:numPr>
          <w:ilvl w:val="0"/>
          <w:numId w:val="1001"/>
        </w:numPr>
        <w:pStyle w:val="Compact"/>
      </w:pPr>
      <w:r>
        <w:t xml:space="preserve">Concentrate flow rate</w:t>
      </w:r>
    </w:p>
    <w:p>
      <w:pPr>
        <w:numPr>
          <w:ilvl w:val="0"/>
          <w:numId w:val="1001"/>
        </w:numPr>
        <w:pStyle w:val="Compact"/>
      </w:pPr>
      <w:r>
        <w:t xml:space="preserve">Conductivity of feed, permeate, and concentrate</w:t>
      </w:r>
    </w:p>
    <w:p>
      <w:pPr>
        <w:numPr>
          <w:ilvl w:val="0"/>
          <w:numId w:val="1001"/>
        </w:numPr>
        <w:pStyle w:val="Compact"/>
      </w:pPr>
      <w:r>
        <w:t xml:space="preserve">Temperature of the feed solution</w:t>
      </w:r>
    </w:p>
    <w:bookmarkEnd w:id="27"/>
    <w:bookmarkEnd w:id="28"/>
    <w:bookmarkStart w:id="29" w:name="data-analysis"/>
    <w:p>
      <w:pPr>
        <w:pStyle w:val="Heading2"/>
      </w:pPr>
      <w:r>
        <w:t xml:space="preserve">5. Data Analysis</w:t>
      </w:r>
    </w:p>
    <w:p>
      <w:pPr>
        <w:pStyle w:val="FirstParagraph"/>
      </w:pPr>
      <w:r>
        <w:t xml:space="preserve">The Chemical Engineer will analyze the collected data to calculate the salt rejection rate and water flux. The salt rejection rate (R) can be calculated using the formula:</w:t>
      </w:r>
    </w:p>
    <w:p>
      <w:pPr>
        <w:pStyle w:val="BodyText"/>
      </w:pPr>
      <w:r>
        <w:t xml:space="preserve">R = (1 - C</w:t>
      </w:r>
      <w:r>
        <w:rPr>
          <w:vertAlign w:val="subscript"/>
        </w:rPr>
        <w:t xml:space="preserve">p</w:t>
      </w:r>
      <w:r>
        <w:t xml:space="preserve">/C</w:t>
      </w:r>
      <w:r>
        <w:rPr>
          <w:vertAlign w:val="subscript"/>
        </w:rPr>
        <w:t xml:space="preserve">f</w:t>
      </w:r>
      <w:r>
        <w:t xml:space="preserve">) × 100%</w:t>
      </w:r>
    </w:p>
    <w:p>
      <w:pPr>
        <w:pStyle w:val="BodyText"/>
      </w:pPr>
      <w:r>
        <w:t xml:space="preserve">where C</w:t>
      </w:r>
      <w:r>
        <w:rPr>
          <w:vertAlign w:val="subscript"/>
        </w:rPr>
        <w:t xml:space="preserve">p</w:t>
      </w:r>
      <w:r>
        <w:t xml:space="preserve"> </w:t>
      </w:r>
      <w:r>
        <w:t xml:space="preserve">is the conductivity of the permeate and C</w:t>
      </w:r>
      <w:r>
        <w:rPr>
          <w:vertAlign w:val="subscript"/>
        </w:rPr>
        <w:t xml:space="preserve">f</w:t>
      </w:r>
      <w:r>
        <w:t xml:space="preserve"> </w:t>
      </w:r>
      <w:r>
        <w:t xml:space="preserve">is the conductivity of the feed. The water flux (J) can be calculated using the formula:</w:t>
      </w:r>
    </w:p>
    <w:p>
      <w:pPr>
        <w:pStyle w:val="BodyText"/>
      </w:pPr>
      <w:r>
        <w:t xml:space="preserve">J = V / (A × t)</w:t>
      </w:r>
    </w:p>
    <w:p>
      <w:pPr>
        <w:pStyle w:val="BodyText"/>
      </w:pPr>
      <w:r>
        <w:t xml:space="preserve">where V is the volume of permeate collected, A is the membrane area, and t is the time.</w:t>
      </w:r>
    </w:p>
    <w:bookmarkEnd w:id="29"/>
    <w:bookmarkStart w:id="30" w:name="conclusion-and-reporting"/>
    <w:p>
      <w:pPr>
        <w:pStyle w:val="Heading2"/>
      </w:pPr>
      <w:r>
        <w:t xml:space="preserve">6. Conclusion and Reporting</w:t>
      </w:r>
    </w:p>
    <w:p>
      <w:pPr>
        <w:pStyle w:val="FirstParagraph"/>
      </w:pPr>
      <w:r>
        <w:t xml:space="preserve">Upon completion of the experiment, the Chemical Engineer must compile a detailed report summarizing the findings. The report should include the experimental setup, procedures, data analysis, and conclusions. Any deviations from the protocol should be documented and explained. The report will be submitted to the research team in Tel Aviv for further review and potential implementation in large-scale desalination plants.</w:t>
      </w:r>
    </w:p>
    <w:bookmarkEnd w:id="30"/>
    <w:bookmarkStart w:id="31" w:name="references"/>
    <w:p>
      <w:pPr>
        <w:pStyle w:val="Heading2"/>
      </w:pPr>
      <w:r>
        <w:t xml:space="preserve">7. References</w:t>
      </w:r>
    </w:p>
    <w:p>
      <w:pPr>
        <w:numPr>
          <w:ilvl w:val="0"/>
          <w:numId w:val="1002"/>
        </w:numPr>
        <w:pStyle w:val="Compact"/>
      </w:pPr>
      <w:r>
        <w:t xml:space="preserve">Israeli Ministry of Health. (2023). Laboratory Safety Guidelines.</w:t>
      </w:r>
    </w:p>
    <w:p>
      <w:pPr>
        <w:numPr>
          <w:ilvl w:val="0"/>
          <w:numId w:val="1002"/>
        </w:numPr>
        <w:pStyle w:val="Compact"/>
      </w:pPr>
      <w:r>
        <w:t xml:space="preserve">Tel Aviv Water Authority. (2023). Water Quality Standards.</w:t>
      </w:r>
    </w:p>
    <w:p>
      <w:pPr>
        <w:numPr>
          <w:ilvl w:val="0"/>
          <w:numId w:val="1002"/>
        </w:numPr>
        <w:pStyle w:val="Compact"/>
      </w:pPr>
      <w:r>
        <w:t xml:space="preserve">Smith, J., &amp; Doe, A. (2022). Advances in Membrane Technology for Desalination. Journal of Chemical Engineering, 45(3), 123-135.</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Membrane Desalination Efficiency</dc:title>
  <dc:creator/>
  <dc:language>en</dc:language>
  <cp:keywords/>
  <dcterms:created xsi:type="dcterms:W3CDTF">2026-10-10T02:34:40Z</dcterms:created>
  <dcterms:modified xsi:type="dcterms:W3CDTF">2026-10-10T02:34:40Z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