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31" w:name="X424bd9a71f6e38ff83efd3229bd65964a2aca93"/>
    <w:p>
      <w:pPr>
        <w:pStyle w:val="Heading1"/>
      </w:pPr>
      <w:r>
        <w:t xml:space="preserve">Experiment Protocol: Chemical Engineer - Ivory Coast Abidjan</w:t>
      </w:r>
    </w:p>
    <w:p>
      <w:pPr>
        <w:pStyle w:val="FirstParagraph"/>
      </w:pPr>
      <w:r>
        <w:rPr>
          <w:bCs/>
          <w:b/>
        </w:rPr>
        <w:t xml:space="preserve">Document Title:</w:t>
      </w:r>
      <w:r>
        <w:t xml:space="preserve"> </w:t>
      </w:r>
      <w:r>
        <w:t xml:space="preserve">Standard Operating Procedure for Chemical Process Optimization and Safety Assessment</w:t>
      </w:r>
    </w:p>
    <w:p>
      <w:pPr>
        <w:pStyle w:val="BodyText"/>
      </w:pPr>
      <w:r>
        <w:rPr>
          <w:bCs/>
          <w:b/>
        </w:rPr>
        <w:t xml:space="preserve">Location:</w:t>
      </w:r>
      <w:r>
        <w:t xml:space="preserve"> </w:t>
      </w:r>
      <w:r>
        <w:t xml:space="preserve">Abidjan, Ivory Coast (Côte d'Ivoire)</w:t>
      </w:r>
    </w:p>
    <w:p>
      <w:pPr>
        <w:pStyle w:val="BodyText"/>
      </w:pPr>
      <w:r>
        <w:rPr>
          <w:bCs/>
          <w:b/>
        </w:rPr>
        <w:t xml:space="preserve">Role:</w:t>
      </w:r>
      <w:r>
        <w:t xml:space="preserve"> </w:t>
      </w:r>
      <w:r>
        <w:t xml:space="preserve">Chemical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for the Chemical Engineer operating within the industrial zones of Abidjan, Ivory Coast. The primary objective is to establish a rigorous framework for conducting chemical experiments related to process optimization, specifically focusing on the extraction and purification of local raw materials such as cocoa butter, palm oil, or cashew nut shell liquid. Given the tropical climate and specific regulatory environment of Ivory Coast, this protocol ensures that all chemical engineering practices adhere to international safety standards while respecting local environmental conditions.</w:t>
      </w:r>
    </w:p>
    <w:p>
      <w:pPr>
        <w:pStyle w:val="BodyText"/>
      </w:pPr>
      <w:r>
        <w:t xml:space="preserve">The Chemical Engineer must utilize this document to guide laboratory and pilot-scale experiments, ensuring reproducibility, safety, and compliance with Ivorian industrial regulations.</w:t>
      </w:r>
    </w:p>
    <w:bookmarkEnd w:id="20"/>
    <w:bookmarkStart w:id="21" w:name="scope-and-applicability"/>
    <w:p>
      <w:pPr>
        <w:pStyle w:val="Heading2"/>
      </w:pPr>
      <w:r>
        <w:t xml:space="preserve">2. Scope and Applicability</w:t>
      </w:r>
    </w:p>
    <w:p>
      <w:pPr>
        <w:pStyle w:val="FirstParagraph"/>
      </w:pPr>
      <w:r>
        <w:t xml:space="preserve">This protocol applies to all experimental activities conducted by the Chemical Engineer in facilities located in Abidjan. It covers:</w:t>
      </w:r>
    </w:p>
    <w:p>
      <w:pPr>
        <w:numPr>
          <w:ilvl w:val="0"/>
          <w:numId w:val="1001"/>
        </w:numPr>
        <w:pStyle w:val="Compact"/>
      </w:pPr>
      <w:r>
        <w:t xml:space="preserve">Preparation of chemical reagents and raw materials.</w:t>
      </w:r>
    </w:p>
    <w:p>
      <w:pPr>
        <w:numPr>
          <w:ilvl w:val="0"/>
          <w:numId w:val="1001"/>
        </w:numPr>
        <w:pStyle w:val="Compact"/>
      </w:pPr>
      <w:r>
        <w:t xml:space="preserve">Operation of reaction vessels, distillation columns, and extraction units.</w:t>
      </w:r>
    </w:p>
    <w:p>
      <w:pPr>
        <w:numPr>
          <w:ilvl w:val="0"/>
          <w:numId w:val="1001"/>
        </w:numPr>
        <w:pStyle w:val="Compact"/>
      </w:pPr>
      <w:r>
        <w:t xml:space="preserve">Monitoring of process parameters (temperature, pressure, flow rate).</w:t>
      </w:r>
    </w:p>
    <w:p>
      <w:pPr>
        <w:numPr>
          <w:ilvl w:val="0"/>
          <w:numId w:val="1001"/>
        </w:numPr>
        <w:pStyle w:val="Compact"/>
      </w:pPr>
      <w:r>
        <w:t xml:space="preserve">Sampling and analysis of products.</w:t>
      </w:r>
    </w:p>
    <w:p>
      <w:pPr>
        <w:numPr>
          <w:ilvl w:val="0"/>
          <w:numId w:val="1001"/>
        </w:numPr>
        <w:pStyle w:val="Compact"/>
      </w:pPr>
      <w:r>
        <w:t xml:space="preserve">Waste management and disposal in accordance with Ivorian environmental laws.</w:t>
      </w:r>
    </w:p>
    <w:bookmarkEnd w:id="21"/>
    <w:bookmarkStart w:id="24" w:name="X0456acdd3e0174d6058d4509a8695628f9f0d00"/>
    <w:p>
      <w:pPr>
        <w:pStyle w:val="Heading2"/>
      </w:pPr>
      <w:r>
        <w:t xml:space="preserve">3. Safety and Personal Protective Equipment (PPE)</w:t>
      </w:r>
    </w:p>
    <w:p>
      <w:pPr>
        <w:pStyle w:val="FirstParagraph"/>
      </w:pPr>
      <w:r>
        <w:t xml:space="preserve">Safety is paramount for the Chemical Engineer in Abidjan. Due to the high ambient temperatures and humidity typical of the region, special attention must be paid to heat stress and chemical volatility.</w:t>
      </w:r>
    </w:p>
    <w:bookmarkStart w:id="22" w:name="required-ppe"/>
    <w:p>
      <w:pPr>
        <w:pStyle w:val="Heading3"/>
      </w:pPr>
      <w:r>
        <w:t xml:space="preserve">3.1 Required PPE</w:t>
      </w:r>
    </w:p>
    <w:p>
      <w:pPr>
        <w:numPr>
          <w:ilvl w:val="0"/>
          <w:numId w:val="1002"/>
        </w:numPr>
        <w:pStyle w:val="Compact"/>
      </w:pPr>
      <w:r>
        <w:t xml:space="preserve">Safety goggles with side shields.</w:t>
      </w:r>
    </w:p>
    <w:p>
      <w:pPr>
        <w:numPr>
          <w:ilvl w:val="0"/>
          <w:numId w:val="1002"/>
        </w:numPr>
        <w:pStyle w:val="Compact"/>
      </w:pPr>
      <w:r>
        <w:t xml:space="preserve">Chemical-resistant gloves (nitrile or neoprene).</w:t>
      </w:r>
    </w:p>
    <w:p>
      <w:pPr>
        <w:numPr>
          <w:ilvl w:val="0"/>
          <w:numId w:val="1002"/>
        </w:numPr>
        <w:pStyle w:val="Compact"/>
      </w:pPr>
      <w:r>
        <w:t xml:space="preserve">Lab coat or chemical-resistant apron.</w:t>
      </w:r>
    </w:p>
    <w:p>
      <w:pPr>
        <w:numPr>
          <w:ilvl w:val="0"/>
          <w:numId w:val="1002"/>
        </w:numPr>
        <w:pStyle w:val="Compact"/>
      </w:pPr>
      <w:r>
        <w:t xml:space="preserve">Closed-toe shoes.</w:t>
      </w:r>
    </w:p>
    <w:p>
      <w:pPr>
        <w:numPr>
          <w:ilvl w:val="0"/>
          <w:numId w:val="1002"/>
        </w:numPr>
        <w:pStyle w:val="Compact"/>
      </w:pPr>
      <w:r>
        <w:t xml:space="preserve">Respiratory protection if working with volatile organic compounds (VOCs).</w:t>
      </w:r>
    </w:p>
    <w:p>
      <w:pPr>
        <w:pStyle w:val="FirstParagraph"/>
      </w:pPr>
      <w:r>
        <w:rPr>
          <w:bCs/>
          <w:b/>
        </w:rPr>
        <w:t xml:space="preserve">Warning:</w:t>
      </w:r>
      <w:r>
        <w:t xml:space="preserve"> </w:t>
      </w:r>
      <w:r>
        <w:t xml:space="preserve">In Abidjan's climate, ensure that ventilation systems are functioning optimally to prevent the accumulation of hazardous vapors.</w:t>
      </w:r>
    </w:p>
    <w:bookmarkEnd w:id="22"/>
    <w:bookmarkStart w:id="23" w:name="emergency-procedures"/>
    <w:p>
      <w:pPr>
        <w:pStyle w:val="Heading3"/>
      </w:pPr>
      <w:r>
        <w:t xml:space="preserve">3.2 Emergency Procedures</w:t>
      </w:r>
    </w:p>
    <w:p>
      <w:pPr>
        <w:pStyle w:val="FirstParagraph"/>
      </w:pPr>
      <w:r>
        <w:t xml:space="preserve">The Chemical Engineer must be familiar with the location of emergency showers, eyewash stations, fire extinguishers, and first aid kits. In case of a chemical spill, follow the facility's spill response plan and notify the safety officer immediately. Contact local emergency services in Abidjan if necessary.</w:t>
      </w:r>
    </w:p>
    <w:bookmarkEnd w:id="23"/>
    <w:bookmarkEnd w:id="24"/>
    <w:bookmarkStart w:id="25" w:name="materials-and-equipment"/>
    <w:p>
      <w:pPr>
        <w:pStyle w:val="Heading2"/>
      </w:pPr>
      <w:r>
        <w:t xml:space="preserve">4. Materials and Equipment</w:t>
      </w:r>
    </w:p>
    <w:p>
      <w:pPr>
        <w:pStyle w:val="FirstParagraph"/>
      </w:pPr>
      <w:r>
        <w:t xml:space="preserve">The following materials and equipment are required for the experiment. All equipment must be calibrated and in good working condition.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Raw Material</w:t>
            </w:r>
          </w:p>
        </w:tc>
        <w:tc>
          <w:tcPr/>
          <w:p>
            <w:pPr>
              <w:pStyle w:val="Compact"/>
              <w:jc w:val="left"/>
            </w:pPr>
            <w:r>
              <w:t xml:space="preserve">Locally sourced (e.g., cocoa beans, palm fruit)</w:t>
            </w:r>
          </w:p>
        </w:tc>
        <w:tc>
          <w:tcPr/>
          <w:p>
            <w:pPr>
              <w:pStyle w:val="Compact"/>
              <w:jc w:val="left"/>
            </w:pPr>
            <w:r>
              <w:t xml:space="preserve">As per batch size</w:t>
            </w:r>
          </w:p>
        </w:tc>
      </w:tr>
      <w:tr>
        <w:tc>
          <w:tcPr/>
          <w:p>
            <w:pPr>
              <w:pStyle w:val="Compact"/>
              <w:jc w:val="left"/>
            </w:pPr>
            <w:r>
              <w:t xml:space="preserve">Solvent</w:t>
            </w:r>
          </w:p>
        </w:tc>
        <w:tc>
          <w:tcPr/>
          <w:p>
            <w:pPr>
              <w:pStyle w:val="Compact"/>
              <w:jc w:val="left"/>
            </w:pPr>
            <w:r>
              <w:t xml:space="preserve">Food-grade hexane or ethanol</w:t>
            </w:r>
          </w:p>
        </w:tc>
        <w:tc>
          <w:tcPr/>
          <w:p>
            <w:pPr>
              <w:pStyle w:val="Compact"/>
              <w:jc w:val="left"/>
            </w:pPr>
            <w:r>
              <w:t xml:space="preserve">50 L</w:t>
            </w:r>
          </w:p>
        </w:tc>
      </w:tr>
      <w:tr>
        <w:tc>
          <w:tcPr/>
          <w:p>
            <w:pPr>
              <w:pStyle w:val="Compact"/>
              <w:jc w:val="left"/>
            </w:pPr>
            <w:r>
              <w:t xml:space="preserve">Reaction Vessel</w:t>
            </w:r>
          </w:p>
        </w:tc>
        <w:tc>
          <w:tcPr/>
          <w:p>
            <w:pPr>
              <w:pStyle w:val="Compact"/>
              <w:jc w:val="left"/>
            </w:pPr>
            <w:r>
              <w:t xml:space="preserve">Stainless steel, 100 L capacity</w:t>
            </w:r>
          </w:p>
        </w:tc>
        <w:tc>
          <w:tcPr/>
          <w:p>
            <w:pPr>
              <w:pStyle w:val="Compact"/>
              <w:jc w:val="left"/>
            </w:pPr>
            <w:r>
              <w:t xml:space="preserve">1</w:t>
            </w:r>
          </w:p>
        </w:tc>
      </w:tr>
      <w:tr>
        <w:tc>
          <w:tcPr/>
          <w:p>
            <w:pPr>
              <w:pStyle w:val="Compact"/>
              <w:jc w:val="left"/>
            </w:pPr>
            <w:r>
              <w:t xml:space="preserve">Temperature Controller</w:t>
            </w:r>
          </w:p>
        </w:tc>
        <w:tc>
          <w:tcPr/>
          <w:p>
            <w:pPr>
              <w:pStyle w:val="Compact"/>
              <w:jc w:val="left"/>
            </w:pPr>
            <w:r>
              <w:t xml:space="preserve">Range: 0-200°C</w:t>
            </w:r>
          </w:p>
        </w:tc>
        <w:tc>
          <w:tcPr/>
          <w:p>
            <w:pPr>
              <w:pStyle w:val="Compact"/>
              <w:jc w:val="left"/>
            </w:pPr>
            <w:r>
              <w:t xml:space="preserve">1</w:t>
            </w:r>
          </w:p>
        </w:tc>
      </w:tr>
      <w:tr>
        <w:tc>
          <w:tcPr/>
          <w:p>
            <w:pPr>
              <w:pStyle w:val="Compact"/>
              <w:jc w:val="left"/>
            </w:pPr>
            <w:r>
              <w:t xml:space="preserve">Pressure Gauge</w:t>
            </w:r>
          </w:p>
        </w:tc>
        <w:tc>
          <w:tcPr/>
          <w:p>
            <w:pPr>
              <w:pStyle w:val="Compact"/>
              <w:jc w:val="left"/>
            </w:pPr>
            <w:r>
              <w:t xml:space="preserve">Range: 0-10 bar</w:t>
            </w:r>
          </w:p>
        </w:tc>
        <w:tc>
          <w:tcPr/>
          <w:p>
            <w:pPr>
              <w:pStyle w:val="Compact"/>
              <w:jc w:val="left"/>
            </w:pPr>
            <w:r>
              <w:t xml:space="preserve">1</w:t>
            </w:r>
          </w:p>
        </w:tc>
      </w:tr>
      <w:tr>
        <w:tc>
          <w:tcPr/>
          <w:p>
            <w:pPr>
              <w:pStyle w:val="Compact"/>
              <w:jc w:val="left"/>
            </w:pPr>
            <w:r>
              <w:t xml:space="preserve">Sampling Bottles</w:t>
            </w:r>
          </w:p>
        </w:tc>
        <w:tc>
          <w:tcPr/>
          <w:p>
            <w:pPr>
              <w:pStyle w:val="Compact"/>
              <w:jc w:val="left"/>
            </w:pPr>
            <w:r>
              <w:t xml:space="preserve">Amber glass, 250 mL</w:t>
            </w:r>
          </w:p>
        </w:tc>
        <w:tc>
          <w:tcPr/>
          <w:p>
            <w:pPr>
              <w:pStyle w:val="Compact"/>
              <w:jc w:val="left"/>
            </w:pPr>
            <w:r>
              <w:t xml:space="preserve">10</w:t>
            </w:r>
          </w:p>
        </w:tc>
      </w:tr>
    </w:tbl>
    <w:bookmarkEnd w:id="25"/>
    <w:bookmarkStart w:id="26" w:name="experimental-procedure"/>
    <w:p>
      <w:pPr>
        <w:pStyle w:val="Heading2"/>
      </w:pPr>
      <w:r>
        <w:t xml:space="preserve">5. Experimental Procedure</w:t>
      </w:r>
    </w:p>
    <w:p>
      <w:pPr>
        <w:pStyle w:val="FirstParagraph"/>
      </w:pPr>
      <w:r>
        <w:t xml:space="preserve">The Chemical Engineer shall follow these steps meticulously:</w:t>
      </w:r>
    </w:p>
    <w:p>
      <w:pPr>
        <w:numPr>
          <w:ilvl w:val="0"/>
          <w:numId w:val="1003"/>
        </w:numPr>
        <w:pStyle w:val="Compact"/>
      </w:pPr>
      <w:r>
        <w:rPr>
          <w:bCs/>
          <w:b/>
        </w:rPr>
        <w:t xml:space="preserve">Preparation:</w:t>
      </w:r>
      <w:r>
        <w:t xml:space="preserve"> </w:t>
      </w:r>
      <w:r>
        <w:t xml:space="preserve">Clean all equipment and verify that safety systems are operational. Prepare the raw material by drying and grinding it to the specified particle size.</w:t>
      </w:r>
    </w:p>
    <w:p>
      <w:pPr>
        <w:numPr>
          <w:ilvl w:val="0"/>
          <w:numId w:val="1003"/>
        </w:numPr>
        <w:pStyle w:val="Compact"/>
      </w:pPr>
      <w:r>
        <w:rPr>
          <w:bCs/>
          <w:b/>
        </w:rPr>
        <w:t xml:space="preserve">Charging:</w:t>
      </w:r>
      <w:r>
        <w:t xml:space="preserve"> </w:t>
      </w:r>
      <w:r>
        <w:t xml:space="preserve">Load the raw material into the reaction vessel. Add the solvent according to the predetermined ratio.</w:t>
      </w:r>
    </w:p>
    <w:p>
      <w:pPr>
        <w:numPr>
          <w:ilvl w:val="0"/>
          <w:numId w:val="1003"/>
        </w:numPr>
        <w:pStyle w:val="Compact"/>
      </w:pPr>
      <w:r>
        <w:rPr>
          <w:bCs/>
          <w:b/>
        </w:rPr>
        <w:t xml:space="preserve">Heating:</w:t>
      </w:r>
      <w:r>
        <w:t xml:space="preserve"> </w:t>
      </w:r>
      <w:r>
        <w:t xml:space="preserve">Gradually increase the temperature to the target setpoint (e.g., 60°C for extraction). Monitor the temperature closely to avoid thermal degradation.</w:t>
      </w:r>
    </w:p>
    <w:p>
      <w:pPr>
        <w:numPr>
          <w:ilvl w:val="0"/>
          <w:numId w:val="1003"/>
        </w:numPr>
        <w:pStyle w:val="Compact"/>
      </w:pPr>
      <w:r>
        <w:rPr>
          <w:bCs/>
          <w:b/>
        </w:rPr>
        <w:t xml:space="preserve">Reaction/Extraction:</w:t>
      </w:r>
      <w:r>
        <w:t xml:space="preserve"> </w:t>
      </w:r>
      <w:r>
        <w:t xml:space="preserve">Maintain the temperature and agitation speed for the specified duration (e.g., 2 hours). Record all parameters every 15 minutes.</w:t>
      </w:r>
    </w:p>
    <w:p>
      <w:pPr>
        <w:numPr>
          <w:ilvl w:val="0"/>
          <w:numId w:val="1003"/>
        </w:numPr>
        <w:pStyle w:val="Compact"/>
      </w:pPr>
      <w:r>
        <w:rPr>
          <w:bCs/>
          <w:b/>
        </w:rPr>
        <w:t xml:space="preserve">Sampling:</w:t>
      </w:r>
      <w:r>
        <w:t xml:space="preserve"> </w:t>
      </w:r>
      <w:r>
        <w:t xml:space="preserve">Take samples at regular intervals for analysis. Label each sample with date, time, and batch number.</w:t>
      </w:r>
    </w:p>
    <w:p>
      <w:pPr>
        <w:numPr>
          <w:ilvl w:val="0"/>
          <w:numId w:val="1003"/>
        </w:numPr>
        <w:pStyle w:val="Compact"/>
      </w:pPr>
      <w:r>
        <w:rPr>
          <w:bCs/>
          <w:b/>
        </w:rPr>
        <w:t xml:space="preserve">Separation:</w:t>
      </w:r>
      <w:r>
        <w:t xml:space="preserve"> </w:t>
      </w:r>
      <w:r>
        <w:t xml:space="preserve">Once the process is complete, separate the product from the solvent using filtration or distillation.</w:t>
      </w:r>
    </w:p>
    <w:p>
      <w:pPr>
        <w:numPr>
          <w:ilvl w:val="0"/>
          <w:numId w:val="1003"/>
        </w:numPr>
        <w:pStyle w:val="Compact"/>
      </w:pPr>
      <w:r>
        <w:rPr>
          <w:bCs/>
          <w:b/>
        </w:rPr>
        <w:t xml:space="preserve">Cooling:</w:t>
      </w:r>
      <w:r>
        <w:t xml:space="preserve"> </w:t>
      </w:r>
      <w:r>
        <w:t xml:space="preserve">Allow the system to cool down to ambient temperature before opening any valves or vessels.</w:t>
      </w:r>
    </w:p>
    <w:bookmarkEnd w:id="26"/>
    <w:bookmarkStart w:id="27" w:name="data-collection-and-analysis"/>
    <w:p>
      <w:pPr>
        <w:pStyle w:val="Heading2"/>
      </w:pPr>
      <w:r>
        <w:t xml:space="preserve">6. Data Collection and Analysis</w:t>
      </w:r>
    </w:p>
    <w:p>
      <w:pPr>
        <w:pStyle w:val="FirstParagraph"/>
      </w:pPr>
      <w:r>
        <w:t xml:space="preserve">The Chemical Engineer must record all experimental data in a laboratory notebook or digital system. Key parameters to monitor include:</w:t>
      </w:r>
    </w:p>
    <w:p>
      <w:pPr>
        <w:numPr>
          <w:ilvl w:val="0"/>
          <w:numId w:val="1004"/>
        </w:numPr>
        <w:pStyle w:val="Compact"/>
      </w:pPr>
      <w:r>
        <w:t xml:space="preserve">Temperature profiles.</w:t>
      </w:r>
    </w:p>
    <w:p>
      <w:pPr>
        <w:numPr>
          <w:ilvl w:val="0"/>
          <w:numId w:val="1004"/>
        </w:numPr>
        <w:pStyle w:val="Compact"/>
      </w:pPr>
      <w:r>
        <w:t xml:space="preserve">Pressure readings.</w:t>
      </w:r>
    </w:p>
    <w:p>
      <w:pPr>
        <w:numPr>
          <w:ilvl w:val="0"/>
          <w:numId w:val="1004"/>
        </w:numPr>
        <w:pStyle w:val="Compact"/>
      </w:pPr>
      <w:r>
        <w:t xml:space="preserve">Flow rates.</w:t>
      </w:r>
    </w:p>
    <w:p>
      <w:pPr>
        <w:numPr>
          <w:ilvl w:val="0"/>
          <w:numId w:val="1004"/>
        </w:numPr>
        <w:pStyle w:val="Compact"/>
      </w:pPr>
      <w:r>
        <w:t xml:space="preserve">Yield and purity of the final product.</w:t>
      </w:r>
    </w:p>
    <w:p>
      <w:pPr>
        <w:pStyle w:val="FirstParagraph"/>
      </w:pPr>
      <w:r>
        <w:t xml:space="preserve">Analysis should be performed using standard methods (e.g., GC-MS, HPLC) to determine the composition of the product. Compare the results with expected values to assess the efficiency of the process.</w:t>
      </w:r>
    </w:p>
    <w:bookmarkEnd w:id="27"/>
    <w:bookmarkStart w:id="28" w:name="waste-management"/>
    <w:p>
      <w:pPr>
        <w:pStyle w:val="Heading2"/>
      </w:pPr>
      <w:r>
        <w:t xml:space="preserve">7. Waste Management</w:t>
      </w:r>
    </w:p>
    <w:p>
      <w:pPr>
        <w:pStyle w:val="FirstParagraph"/>
      </w:pPr>
      <w:r>
        <w:t xml:space="preserve">Proper waste management is critical in Abidjan to protect the environment. The Chemical Engineer must:</w:t>
      </w:r>
    </w:p>
    <w:p>
      <w:pPr>
        <w:numPr>
          <w:ilvl w:val="0"/>
          <w:numId w:val="1005"/>
        </w:numPr>
        <w:pStyle w:val="Compact"/>
      </w:pPr>
      <w:r>
        <w:t xml:space="preserve">Segregate chemical waste from non-chemical waste.</w:t>
      </w:r>
    </w:p>
    <w:p>
      <w:pPr>
        <w:numPr>
          <w:ilvl w:val="0"/>
          <w:numId w:val="1005"/>
        </w:numPr>
        <w:pStyle w:val="Compact"/>
      </w:pPr>
      <w:r>
        <w:t xml:space="preserve">Store hazardous waste in labeled, compatible containers.</w:t>
      </w:r>
    </w:p>
    <w:p>
      <w:pPr>
        <w:numPr>
          <w:ilvl w:val="0"/>
          <w:numId w:val="1005"/>
        </w:numPr>
        <w:pStyle w:val="Compact"/>
      </w:pPr>
      <w:r>
        <w:t xml:space="preserve">Dispose of waste according to Ivorian regulations and facility procedures.</w:t>
      </w:r>
    </w:p>
    <w:p>
      <w:pPr>
        <w:numPr>
          <w:ilvl w:val="0"/>
          <w:numId w:val="1005"/>
        </w:numPr>
        <w:pStyle w:val="Compact"/>
      </w:pPr>
      <w:r>
        <w:t xml:space="preserve">Minimize waste generation by optimizing the process.</w:t>
      </w:r>
    </w:p>
    <w:bookmarkEnd w:id="28"/>
    <w:bookmarkStart w:id="29" w:name="conclusion-and-reporting"/>
    <w:p>
      <w:pPr>
        <w:pStyle w:val="Heading2"/>
      </w:pPr>
      <w:r>
        <w:t xml:space="preserve">8. Conclusion and Reporting</w:t>
      </w:r>
    </w:p>
    <w:p>
      <w:pPr>
        <w:pStyle w:val="FirstParagraph"/>
      </w:pPr>
      <w:r>
        <w:t xml:space="preserve">Upon completion of the experiment, the Chemical Engineer shall prepare a detailed report summarizing the objectives, methods, results, and conclusions. The report should include recommendations for process improvement and any deviations from the protocol. This document serves as a reference for future experiments and ensures continuous improvement in chemical engineering practices in Ivory Coast Abidjan.</w:t>
      </w:r>
    </w:p>
    <w:bookmarkEnd w:id="29"/>
    <w:bookmarkStart w:id="30" w:name="approval"/>
    <w:p>
      <w:pPr>
        <w:pStyle w:val="Heading2"/>
      </w:pPr>
      <w:r>
        <w:t xml:space="preserve">9. Approval</w:t>
      </w:r>
    </w:p>
    <w:p>
      <w:pPr>
        <w:pStyle w:val="FirstParagraph"/>
      </w:pPr>
      <w:r>
        <w:t xml:space="preserve">This Experiment Protocol has been reviewed and approved by:</w:t>
      </w:r>
    </w:p>
    <w:p>
      <w:pPr>
        <w:pStyle w:val="BodyText"/>
      </w:pPr>
      <w:r>
        <w:rPr>
          <w:bCs/>
          <w:b/>
        </w:rPr>
        <w:t xml:space="preserve">Name:</w:t>
      </w:r>
      <w:r>
        <w:t xml:space="preserve"> </w:t>
      </w:r>
      <w:r>
        <w:t xml:space="preserve">[Chemical Engineer's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Ivory Coast Abidjan</dc:title>
  <dc:creator/>
  <dc:language>en</dc:language>
  <cp:keywords/>
  <dcterms:created xsi:type="dcterms:W3CDTF">2026-10-10T04:01:49Z</dcterms:created>
  <dcterms:modified xsi:type="dcterms:W3CDTF">2026-10-10T04:01:49Z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