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Japan</w:t>
      </w:r>
      <w:r>
        <w:t xml:space="preserve"> </w:t>
      </w:r>
      <w:r>
        <w:t xml:space="preserve">Osaka</w:t>
      </w:r>
    </w:p>
    <w:p>
      <w:pPr>
        <w:pStyle w:val="FirstParagraph"/>
      </w:pPr>
      <w:r>
        <w:rPr>
          <w:bCs/>
          <w:b/>
        </w:rPr>
        <w:t xml:space="preserve">Document ID:</w:t>
      </w:r>
      <w:r>
        <w:t xml:space="preserve"> </w:t>
      </w:r>
      <w:r>
        <w:t xml:space="preserve">EXP-OSK-CE-2023-001</w:t>
      </w:r>
      <w:r>
        <w:br/>
      </w:r>
      <w:r>
        <w:rPr>
          <w:bCs/>
          <w:b/>
        </w:rPr>
        <w:t xml:space="preserve">Version:</w:t>
      </w:r>
      <w:r>
        <w:t xml:space="preserve"> </w:t>
      </w:r>
      <w:r>
        <w:t xml:space="preserve">1.0</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Osaka Science Park, Osaka, Japan</w:t>
      </w:r>
      <w:r>
        <w:br/>
      </w:r>
      <w:r>
        <w:rPr>
          <w:bCs/>
          <w:b/>
        </w:rPr>
        <w:t xml:space="preserve">Department:</w:t>
      </w:r>
      <w:r>
        <w:t xml:space="preserve"> </w:t>
      </w:r>
      <w:r>
        <w:t xml:space="preserve">Advanced Materials &amp; Process Engineering</w:t>
      </w:r>
      <w:r>
        <w:br/>
      </w:r>
      <w:r>
        <w:rPr>
          <w:bCs/>
          <w:b/>
        </w:rPr>
        <w:t xml:space="preserve">Classification:</w:t>
      </w:r>
      <w:r>
        <w:t xml:space="preserve"> </w:t>
      </w:r>
      <w:r>
        <w:t xml:space="preserve">Internal Use Only</w:t>
      </w:r>
    </w:p>
    <w:bookmarkStart w:id="31" w:name="X44650ce8eed98d01c327a143325182d933496e4"/>
    <w:p>
      <w:pPr>
        <w:pStyle w:val="Heading1"/>
      </w:pPr>
      <w:r>
        <w:t xml:space="preserve">Experiment Protocol: Catalytic Efficiency Analysis in High-Pressure Reactors</w:t>
      </w:r>
    </w:p>
    <w:p>
      <w:pPr>
        <w:pStyle w:val="FirstParagraph"/>
      </w:pPr>
      <w:r>
        <w:rPr>
          <w:bCs/>
          <w:b/>
        </w:rPr>
        <w:t xml:space="preserve">Prepared for:</w:t>
      </w:r>
      <w:r>
        <w:t xml:space="preserve"> </w:t>
      </w:r>
      <w:r>
        <w:t xml:space="preserve">Senior Chemical Engineer</w:t>
      </w:r>
      <w:r>
        <w:br/>
      </w:r>
      <w:r>
        <w:rPr>
          <w:bCs/>
          <w:b/>
        </w:rPr>
        <w:t xml:space="preserve">Facility:</w:t>
      </w:r>
      <w:r>
        <w:t xml:space="preserve"> </w:t>
      </w:r>
      <w:r>
        <w:t xml:space="preserve">Osaka Prefecture Industrial Research Institute</w:t>
      </w:r>
    </w:p>
    <w:bookmarkStart w:id="20" w:name="introduction-and-objective"/>
    <w:p>
      <w:pPr>
        <w:pStyle w:val="Heading2"/>
      </w:pPr>
      <w:r>
        <w:t xml:space="preserve">1. Introduction and Objective</w:t>
      </w:r>
    </w:p>
    <w:p>
      <w:pPr>
        <w:pStyle w:val="FirstParagraph"/>
      </w:pPr>
      <w:r>
        <w:t xml:space="preserve">This Experiment Protocol outlines the standardized procedures required for the evaluation of novel heterogeneous catalysts within high-pressure batch reactors. The primary objective is to assess the conversion rates and selectivity of specific hydrocarbon feedstocks under varying thermal and pressure conditions. As a Chemical Engineer operating within the rigorous industrial landscape of Japan Osaka, adherence to this protocol is mandatory to ensure data integrity, personnel safety, and compliance with local environmental regulations.</w:t>
      </w:r>
    </w:p>
    <w:p>
      <w:pPr>
        <w:pStyle w:val="BodyText"/>
      </w:pPr>
      <w:r>
        <w:t xml:space="preserve">The Osaka region is a hub for advanced chemical manufacturing. Consequently, this protocol is designed to meet the high standards of precision expected in Japanese industrial research, focusing on reproducibility and waste minimization.</w:t>
      </w:r>
    </w:p>
    <w:bookmarkEnd w:id="20"/>
    <w:bookmarkStart w:id="21" w:name="scope-and-applicability"/>
    <w:p>
      <w:pPr>
        <w:pStyle w:val="Heading2"/>
      </w:pPr>
      <w:r>
        <w:t xml:space="preserve">2. Scope and Applicability</w:t>
      </w:r>
    </w:p>
    <w:p>
      <w:pPr>
        <w:pStyle w:val="FirstParagraph"/>
      </w:pPr>
      <w:r>
        <w:t xml:space="preserve">This protocol applies to all Chemical Engineers, research assistants, and laboratory technicians conducting experiments in the High-Pressure Reaction Laboratory located in Osaka. It covers the preparation of the reactor system, the introduction of reagents, the execution of the reaction cycle, and the subsequent sampling and analysis procedures. Any deviation from this protocol requires written approval from the Laboratory Director.</w:t>
      </w:r>
    </w:p>
    <w:bookmarkEnd w:id="21"/>
    <w:bookmarkStart w:id="22" w:name="safety-and-regulatory-compliance"/>
    <w:p>
      <w:pPr>
        <w:pStyle w:val="Heading2"/>
      </w:pPr>
      <w:r>
        <w:t xml:space="preserve">3. Safety and Regulatory Compliance</w:t>
      </w:r>
    </w:p>
    <w:p>
      <w:pPr>
        <w:pStyle w:val="FirstParagraph"/>
      </w:pPr>
      <w:r>
        <w:t xml:space="preserve">Safety is the paramount concern in this facility. All personnel must strictly adhere to the following safety measures, which align with the Industrial Safety and Health Act of Japan.</w:t>
      </w:r>
    </w:p>
    <w:p>
      <w:pPr>
        <w:numPr>
          <w:ilvl w:val="0"/>
          <w:numId w:val="1001"/>
        </w:numPr>
        <w:pStyle w:val="Compact"/>
      </w:pPr>
      <w:r>
        <w:rPr>
          <w:bCs/>
          <w:b/>
        </w:rPr>
        <w:t xml:space="preserve">Personal Protective Equipment (PPE):</w:t>
      </w:r>
      <w:r>
        <w:t xml:space="preserve"> </w:t>
      </w:r>
      <w:r>
        <w:t xml:space="preserve">All Chemical Engineers must wear safety goggles, chemical-resistant gloves (nitrile or butyl rubber depending on reagents), lab coats, and closed-toe shoes at all times within the laboratory.</w:t>
      </w:r>
    </w:p>
    <w:p>
      <w:pPr>
        <w:numPr>
          <w:ilvl w:val="0"/>
          <w:numId w:val="1001"/>
        </w:numPr>
        <w:pStyle w:val="Compact"/>
      </w:pPr>
      <w:r>
        <w:rPr>
          <w:bCs/>
          <w:b/>
        </w:rPr>
        <w:t xml:space="preserve">Emergency Procedures:</w:t>
      </w:r>
      <w:r>
        <w:t xml:space="preserve"> </w:t>
      </w:r>
      <w:r>
        <w:t xml:space="preserve">Familiarize yourself with the location of the emergency shower, eyewash station, and fire extinguishers. In the event of a chemical spill or leak, immediately activate the emergency alarm located near the main exit of the Osaka facility.</w:t>
      </w:r>
    </w:p>
    <w:p>
      <w:pPr>
        <w:numPr>
          <w:ilvl w:val="0"/>
          <w:numId w:val="1001"/>
        </w:numPr>
        <w:pStyle w:val="Compact"/>
      </w:pPr>
      <w:r>
        <w:rPr>
          <w:bCs/>
          <w:b/>
        </w:rPr>
        <w:t xml:space="preserve">High-Pressure Hazards:</w:t>
      </w:r>
      <w:r>
        <w:t xml:space="preserve"> </w:t>
      </w:r>
      <w:r>
        <w:t xml:space="preserve">Reactors will be operated at pressures up to 50 bar. Ensure all pressure relief valves are functional before pressurization. Never exceed the maximum allowable working pressure (MAWP) of the vessel.</w:t>
      </w:r>
    </w:p>
    <w:p>
      <w:pPr>
        <w:numPr>
          <w:ilvl w:val="0"/>
          <w:numId w:val="1001"/>
        </w:numPr>
        <w:pStyle w:val="Compact"/>
      </w:pPr>
      <w:r>
        <w:rPr>
          <w:bCs/>
          <w:b/>
        </w:rPr>
        <w:t xml:space="preserve">Environmental Compliance:</w:t>
      </w:r>
      <w:r>
        <w:t xml:space="preserve"> </w:t>
      </w:r>
      <w:r>
        <w:t xml:space="preserve">All chemical waste must be segregated according to the Osaka City Waste Management Guidelines. Organic solvents, aqueous waste, and solid catalyst residues must be disposed of in designated, clearly labeled containers.</w:t>
      </w:r>
    </w:p>
    <w:p>
      <w:pPr>
        <w:pStyle w:val="FirstParagraph"/>
      </w:pPr>
      <w:r>
        <w:rPr>
          <w:bCs/>
          <w:b/>
        </w:rPr>
        <w:t xml:space="preserve">WARNING:</w:t>
      </w:r>
      <w:r>
        <w:t xml:space="preserve"> </w:t>
      </w:r>
      <w:r>
        <w:t xml:space="preserve">Failure to follow safety protocols may result in severe injury, equipment damage, and legal consequences under Japanese law.</w:t>
      </w:r>
    </w:p>
    <w:bookmarkEnd w:id="22"/>
    <w:bookmarkStart w:id="23" w:name="materials-and-equipment"/>
    <w:p>
      <w:pPr>
        <w:pStyle w:val="Heading2"/>
      </w:pPr>
      <w:r>
        <w:t xml:space="preserve">4. Materials and Equipment</w:t>
      </w:r>
    </w:p>
    <w:p>
      <w:pPr>
        <w:pStyle w:val="FirstParagraph"/>
      </w:pPr>
      <w:r>
        <w:t xml:space="preserve">The following materials and equipment are required for this experiment:</w:t>
      </w:r>
    </w:p>
    <w:p>
      <w:pPr>
        <w:numPr>
          <w:ilvl w:val="0"/>
          <w:numId w:val="1002"/>
        </w:numPr>
        <w:pStyle w:val="Compact"/>
      </w:pPr>
      <w:r>
        <w:t xml:space="preserve">High-pressure stainless steel batch reactor (500 mL capacity)</w:t>
      </w:r>
    </w:p>
    <w:p>
      <w:pPr>
        <w:numPr>
          <w:ilvl w:val="0"/>
          <w:numId w:val="1002"/>
        </w:numPr>
        <w:pStyle w:val="Compact"/>
      </w:pPr>
      <w:r>
        <w:t xml:space="preserve">Temperature control unit with PID controller</w:t>
      </w:r>
    </w:p>
    <w:p>
      <w:pPr>
        <w:numPr>
          <w:ilvl w:val="0"/>
          <w:numId w:val="1002"/>
        </w:numPr>
        <w:pStyle w:val="Compact"/>
      </w:pPr>
      <w:r>
        <w:t xml:space="preserve">Pressure transducer and data acquisition system</w:t>
      </w:r>
    </w:p>
    <w:p>
      <w:pPr>
        <w:numPr>
          <w:ilvl w:val="0"/>
          <w:numId w:val="1002"/>
        </w:numPr>
        <w:pStyle w:val="Compact"/>
      </w:pPr>
      <w:r>
        <w:t xml:space="preserve">Novel heterogeneous catalyst (Batch #CE-2023-O)</w:t>
      </w:r>
    </w:p>
    <w:p>
      <w:pPr>
        <w:numPr>
          <w:ilvl w:val="0"/>
          <w:numId w:val="1002"/>
        </w:numPr>
        <w:pStyle w:val="Compact"/>
      </w:pPr>
      <w:r>
        <w:t xml:space="preserve">Hydrocarbon feedstock (High-purity grade)</w:t>
      </w:r>
    </w:p>
    <w:p>
      <w:pPr>
        <w:numPr>
          <w:ilvl w:val="0"/>
          <w:numId w:val="1002"/>
        </w:numPr>
        <w:pStyle w:val="Compact"/>
      </w:pPr>
      <w:r>
        <w:t xml:space="preserve">Inert gas supply (Nitrogen, 99.999% purity)</w:t>
      </w:r>
    </w:p>
    <w:p>
      <w:pPr>
        <w:numPr>
          <w:ilvl w:val="0"/>
          <w:numId w:val="1002"/>
        </w:numPr>
        <w:pStyle w:val="Compact"/>
      </w:pPr>
      <w:r>
        <w:t xml:space="preserve">Gas Chromatograph (GC) for product analysis</w:t>
      </w:r>
    </w:p>
    <w:p>
      <w:pPr>
        <w:numPr>
          <w:ilvl w:val="0"/>
          <w:numId w:val="1002"/>
        </w:numPr>
        <w:pStyle w:val="Compact"/>
      </w:pPr>
      <w:r>
        <w:t xml:space="preserve">Sampling vials and syringes</w:t>
      </w:r>
    </w:p>
    <w:bookmarkEnd w:id="23"/>
    <w:bookmarkStart w:id="28" w:name="experimental-procedure"/>
    <w:p>
      <w:pPr>
        <w:pStyle w:val="Heading2"/>
      </w:pPr>
      <w:r>
        <w:t xml:space="preserve">5. Experimental Procedure</w:t>
      </w:r>
    </w:p>
    <w:p>
      <w:pPr>
        <w:pStyle w:val="FirstParagraph"/>
      </w:pPr>
      <w:r>
        <w:t xml:space="preserve">The Chemical Engineer must execute the following steps in the exact order specified:</w:t>
      </w:r>
    </w:p>
    <w:bookmarkStart w:id="24" w:name="system-preparation"/>
    <w:p>
      <w:pPr>
        <w:pStyle w:val="Heading3"/>
      </w:pPr>
      <w:r>
        <w:t xml:space="preserve">5.1. System Preparation</w:t>
      </w:r>
    </w:p>
    <w:p>
      <w:pPr>
        <w:numPr>
          <w:ilvl w:val="0"/>
          <w:numId w:val="1003"/>
        </w:numPr>
        <w:pStyle w:val="Compact"/>
      </w:pPr>
      <w:r>
        <w:t xml:space="preserve">Inspect the reactor vessel for any signs of corrosion or damage. Ensure all seals and gaskets are in good condition.</w:t>
      </w:r>
    </w:p>
    <w:p>
      <w:pPr>
        <w:numPr>
          <w:ilvl w:val="0"/>
          <w:numId w:val="1003"/>
        </w:numPr>
        <w:pStyle w:val="Compact"/>
      </w:pPr>
      <w:r>
        <w:t xml:space="preserve">Assemble the reactor system according to the standard operating diagram. Connect the temperature control unit and pressure transducer.</w:t>
      </w:r>
    </w:p>
    <w:p>
      <w:pPr>
        <w:numPr>
          <w:ilvl w:val="0"/>
          <w:numId w:val="1003"/>
        </w:numPr>
        <w:pStyle w:val="Compact"/>
      </w:pPr>
      <w:r>
        <w:t xml:space="preserve">Purge the reactor system with nitrogen gas three times to remove any residual air or moisture. This is critical to prevent oxidation of the catalyst.</w:t>
      </w:r>
    </w:p>
    <w:bookmarkEnd w:id="24"/>
    <w:bookmarkStart w:id="25" w:name="reagent-loading"/>
    <w:p>
      <w:pPr>
        <w:pStyle w:val="Heading3"/>
      </w:pPr>
      <w:r>
        <w:t xml:space="preserve">5.2. Reagent Loading</w:t>
      </w:r>
    </w:p>
    <w:p>
      <w:pPr>
        <w:numPr>
          <w:ilvl w:val="0"/>
          <w:numId w:val="1004"/>
        </w:numPr>
        <w:pStyle w:val="Compact"/>
      </w:pPr>
      <w:r>
        <w:t xml:space="preserve">Accurately weigh the required amount of the novel heterogeneous catalyst using an analytical balance. Record the mass in the laboratory notebook.</w:t>
      </w:r>
    </w:p>
    <w:p>
      <w:pPr>
        <w:numPr>
          <w:ilvl w:val="0"/>
          <w:numId w:val="1004"/>
        </w:numPr>
        <w:pStyle w:val="Compact"/>
      </w:pPr>
      <w:r>
        <w:t xml:space="preserve">Transfer the catalyst into the reactor vessel using a clean, dry spatula.</w:t>
      </w:r>
    </w:p>
    <w:p>
      <w:pPr>
        <w:numPr>
          <w:ilvl w:val="0"/>
          <w:numId w:val="1004"/>
        </w:numPr>
        <w:pStyle w:val="Compact"/>
      </w:pPr>
      <w:r>
        <w:t xml:space="preserve">Measure the precise volume of the hydrocarbon feedstock and introduce it into the reactor.</w:t>
      </w:r>
    </w:p>
    <w:p>
      <w:pPr>
        <w:numPr>
          <w:ilvl w:val="0"/>
          <w:numId w:val="1004"/>
        </w:numPr>
        <w:pStyle w:val="Compact"/>
      </w:pPr>
      <w:r>
        <w:t xml:space="preserve">Seal the reactor vessel tightly. Ensure the torque on the bolts is uniform to prevent leaks.</w:t>
      </w:r>
    </w:p>
    <w:bookmarkEnd w:id="25"/>
    <w:bookmarkStart w:id="26" w:name="reaction-execution"/>
    <w:p>
      <w:pPr>
        <w:pStyle w:val="Heading3"/>
      </w:pPr>
      <w:r>
        <w:t xml:space="preserve">5.3. Reaction Execution</w:t>
      </w:r>
    </w:p>
    <w:p>
      <w:pPr>
        <w:numPr>
          <w:ilvl w:val="0"/>
          <w:numId w:val="1005"/>
        </w:numPr>
        <w:pStyle w:val="Compact"/>
      </w:pPr>
      <w:r>
        <w:t xml:space="preserve">Pressurize the reactor with nitrogen gas to the desired initial pressure (e.g., 20 bar).</w:t>
      </w:r>
    </w:p>
    <w:p>
      <w:pPr>
        <w:numPr>
          <w:ilvl w:val="0"/>
          <w:numId w:val="1005"/>
        </w:numPr>
        <w:pStyle w:val="Compact"/>
      </w:pPr>
      <w:r>
        <w:t xml:space="preserve">Begin heating the reactor using the temperature control unit. Set the target temperature (e.g., 200°C) and ramp rate (e.g., 5°C/min).</w:t>
      </w:r>
    </w:p>
    <w:p>
      <w:pPr>
        <w:numPr>
          <w:ilvl w:val="0"/>
          <w:numId w:val="1005"/>
        </w:numPr>
        <w:pStyle w:val="Compact"/>
      </w:pPr>
      <w:r>
        <w:t xml:space="preserve">Once the target temperature is reached, start the mechanical stirrer at the specified speed (e.g., 500 rpm).</w:t>
      </w:r>
    </w:p>
    <w:p>
      <w:pPr>
        <w:numPr>
          <w:ilvl w:val="0"/>
          <w:numId w:val="1005"/>
        </w:numPr>
        <w:pStyle w:val="Compact"/>
      </w:pPr>
      <w:r>
        <w:t xml:space="preserve">Monitor the pressure and temperature continuously via the data acquisition system. Record any fluctuations.</w:t>
      </w:r>
    </w:p>
    <w:p>
      <w:pPr>
        <w:numPr>
          <w:ilvl w:val="0"/>
          <w:numId w:val="1005"/>
        </w:numPr>
        <w:pStyle w:val="Compact"/>
      </w:pPr>
      <w:r>
        <w:t xml:space="preserve">Maintain the reaction conditions for the predetermined duration (e.g., 4 hours).</w:t>
      </w:r>
    </w:p>
    <w:bookmarkEnd w:id="26"/>
    <w:bookmarkStart w:id="27" w:name="sampling-and-analysis"/>
    <w:p>
      <w:pPr>
        <w:pStyle w:val="Heading3"/>
      </w:pPr>
      <w:r>
        <w:t xml:space="preserve">5.4. Sampling and Analysis</w:t>
      </w:r>
    </w:p>
    <w:p>
      <w:pPr>
        <w:numPr>
          <w:ilvl w:val="0"/>
          <w:numId w:val="1006"/>
        </w:numPr>
        <w:pStyle w:val="Compact"/>
      </w:pPr>
      <w:r>
        <w:t xml:space="preserve">After the reaction time has elapsed, stop the stirrer and allow the reactor to cool down to room temperature naturally.</w:t>
      </w:r>
    </w:p>
    <w:p>
      <w:pPr>
        <w:numPr>
          <w:ilvl w:val="0"/>
          <w:numId w:val="1006"/>
        </w:numPr>
        <w:pStyle w:val="Compact"/>
      </w:pPr>
      <w:r>
        <w:t xml:space="preserve">Slowly depressurize the reactor by venting the gas phase into the scrubber system.</w:t>
      </w:r>
    </w:p>
    <w:p>
      <w:pPr>
        <w:numPr>
          <w:ilvl w:val="0"/>
          <w:numId w:val="1006"/>
        </w:numPr>
        <w:pStyle w:val="Compact"/>
      </w:pPr>
      <w:r>
        <w:t xml:space="preserve">Open the reactor and collect liquid samples using a syringe.</w:t>
      </w:r>
    </w:p>
    <w:p>
      <w:pPr>
        <w:numPr>
          <w:ilvl w:val="0"/>
          <w:numId w:val="1006"/>
        </w:numPr>
        <w:pStyle w:val="Compact"/>
      </w:pPr>
      <w:r>
        <w:t xml:space="preserve">Analyze the samples using Gas Chromatography (GC) to determine the conversion rate and product selectivity.</w:t>
      </w:r>
    </w:p>
    <w:p>
      <w:pPr>
        <w:numPr>
          <w:ilvl w:val="0"/>
          <w:numId w:val="1006"/>
        </w:numPr>
        <w:pStyle w:val="Compact"/>
      </w:pPr>
      <w:r>
        <w:t xml:space="preserve">Record all analytical data in the designated database.</w:t>
      </w:r>
    </w:p>
    <w:bookmarkEnd w:id="27"/>
    <w:bookmarkEnd w:id="28"/>
    <w:bookmarkStart w:id="29" w:name="data-recording-and-reporting"/>
    <w:p>
      <w:pPr>
        <w:pStyle w:val="Heading2"/>
      </w:pPr>
      <w:r>
        <w:t xml:space="preserve">6. Data Recording and Reporting</w:t>
      </w:r>
    </w:p>
    <w:p>
      <w:pPr>
        <w:pStyle w:val="FirstParagraph"/>
      </w:pPr>
      <w:r>
        <w:t xml:space="preserve">Accurate documentation is essential for the validity of the experiment. The Chemical Engineer must record the following data points:</w:t>
      </w:r>
    </w:p>
    <w:p>
      <w:pPr>
        <w:numPr>
          <w:ilvl w:val="0"/>
          <w:numId w:val="1007"/>
        </w:numPr>
        <w:pStyle w:val="Compact"/>
      </w:pPr>
      <w:r>
        <w:t xml:space="preserve">Date and time of the experiment</w:t>
      </w:r>
    </w:p>
    <w:p>
      <w:pPr>
        <w:numPr>
          <w:ilvl w:val="0"/>
          <w:numId w:val="1007"/>
        </w:numPr>
        <w:pStyle w:val="Compact"/>
      </w:pPr>
      <w:r>
        <w:t xml:space="preserve">Names of personnel involved</w:t>
      </w:r>
    </w:p>
    <w:p>
      <w:pPr>
        <w:numPr>
          <w:ilvl w:val="0"/>
          <w:numId w:val="1007"/>
        </w:numPr>
        <w:pStyle w:val="Compact"/>
      </w:pPr>
      <w:r>
        <w:t xml:space="preserve">Catalyst batch number and mass</w:t>
      </w:r>
    </w:p>
    <w:p>
      <w:pPr>
        <w:numPr>
          <w:ilvl w:val="0"/>
          <w:numId w:val="1007"/>
        </w:numPr>
        <w:pStyle w:val="Compact"/>
      </w:pPr>
      <w:r>
        <w:t xml:space="preserve">Feedstock volume and purity</w:t>
      </w:r>
    </w:p>
    <w:p>
      <w:pPr>
        <w:numPr>
          <w:ilvl w:val="0"/>
          <w:numId w:val="1007"/>
        </w:numPr>
        <w:pStyle w:val="Compact"/>
      </w:pPr>
      <w:r>
        <w:t xml:space="preserve">Reaction temperature, pressure, and duration</w:t>
      </w:r>
    </w:p>
    <w:p>
      <w:pPr>
        <w:numPr>
          <w:ilvl w:val="0"/>
          <w:numId w:val="1007"/>
        </w:numPr>
        <w:pStyle w:val="Compact"/>
      </w:pPr>
      <w:r>
        <w:t xml:space="preserve">GC analysis results</w:t>
      </w:r>
    </w:p>
    <w:p>
      <w:pPr>
        <w:numPr>
          <w:ilvl w:val="0"/>
          <w:numId w:val="1007"/>
        </w:numPr>
        <w:pStyle w:val="Compact"/>
      </w:pPr>
      <w:r>
        <w:t xml:space="preserve">Any observations or anomalies during the experiment</w:t>
      </w:r>
    </w:p>
    <w:p>
      <w:pPr>
        <w:pStyle w:val="FirstParagraph"/>
      </w:pPr>
      <w:r>
        <w:t xml:space="preserve">A comprehensive report must be submitted to the Laboratory Director within 48 hours of completing the experiment. The report should include a discussion of the results, comparison with theoretical predictions, and recommendations for future experiments.</w:t>
      </w:r>
    </w:p>
    <w:bookmarkEnd w:id="29"/>
    <w:bookmarkStart w:id="30" w:name="conclusion"/>
    <w:p>
      <w:pPr>
        <w:pStyle w:val="Heading2"/>
      </w:pPr>
      <w:r>
        <w:t xml:space="preserve">7. Conclusion</w:t>
      </w:r>
    </w:p>
    <w:p>
      <w:pPr>
        <w:pStyle w:val="FirstParagraph"/>
      </w:pPr>
      <w:r>
        <w:t xml:space="preserve">This Experiment Protocol provides a robust framework for conducting catalytic efficiency studies in a high-pressure environment. By strictly following these procedures, Chemical Engineers in Japan Osaka can ensure the safety of personnel, the quality of data, and the sustainability of operations. Continuous improvement of this protocol is encouraged based on feedback and new technological advancements.</w:t>
      </w:r>
    </w:p>
    <w:p>
      <w:pPr>
        <w:pStyle w:val="BodyText"/>
      </w:pPr>
      <w:r>
        <w:rPr>
          <w:bCs/>
          <w:b/>
        </w:rPr>
        <w:t xml:space="preserve">Prepared By:</w:t>
      </w:r>
      <w:r>
        <w:br/>
      </w:r>
      <w:r>
        <w:t xml:space="preserve">[Name of Chemical Engineer]</w:t>
      </w:r>
      <w:r>
        <w:br/>
      </w:r>
      <w:r>
        <w:t xml:space="preserve">Date: _______________</w:t>
      </w:r>
    </w:p>
    <w:p>
      <w:pPr>
        <w:pStyle w:val="BodyText"/>
      </w:pPr>
      <w:r>
        <w:rPr>
          <w:bCs/>
          <w:b/>
        </w:rPr>
        <w:t xml:space="preserve">Approved By:</w:t>
      </w:r>
      <w:r>
        <w:br/>
      </w:r>
      <w:r>
        <w:t xml:space="preserve">[Name of Laboratory Director]</w:t>
      </w:r>
      <w:r>
        <w:br/>
      </w:r>
      <w:r>
        <w:t xml:space="preserve">Date: 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Japan Osaka</dc:title>
  <dc:creator/>
  <dc:language>en</dc:language>
  <cp:keywords/>
  <dcterms:created xsi:type="dcterms:W3CDTF">2026-10-10T03:07:56Z</dcterms:created>
  <dcterms:modified xsi:type="dcterms:W3CDTF">2026-10-10T03:07:56Z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