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Reactor</w:t>
      </w:r>
      <w:r>
        <w:t xml:space="preserve"> </w:t>
      </w:r>
      <w:r>
        <w:t xml:space="preserve">Optimization</w:t>
      </w:r>
    </w:p>
    <w:bookmarkStart w:id="20" w:name="Xcba659a289b3c5020c165b6b260b8add6c045d2"/>
    <w:p>
      <w:pPr>
        <w:pStyle w:val="Heading1"/>
      </w:pPr>
      <w:r>
        <w:t xml:space="preserve">Experiment Protocol: Advanced Catalytic Reactor Optimization</w:t>
      </w:r>
    </w:p>
    <w:p>
      <w:pPr>
        <w:pStyle w:val="FirstParagraph"/>
      </w:pPr>
      <w:r>
        <w:t xml:space="preserve">Document ID:</w:t>
      </w:r>
      <w:r>
        <w:t xml:space="preserve"> </w:t>
      </w:r>
      <w:r>
        <w:t xml:space="preserve">JP-TKY-CE-2024-089</w:t>
      </w:r>
    </w:p>
    <w:p>
      <w:pPr>
        <w:pStyle w:val="BodyText"/>
      </w:pPr>
      <w:r>
        <w:t xml:space="preserve">Version:</w:t>
      </w:r>
      <w:r>
        <w:t xml:space="preserve"> </w:t>
      </w:r>
      <w:r>
        <w:t xml:space="preserve">2.1</w:t>
      </w:r>
    </w:p>
    <w:p>
      <w:pPr>
        <w:pStyle w:val="BodyText"/>
      </w:pPr>
      <w:r>
        <w:t xml:space="preserve">Date:</w:t>
      </w:r>
      <w:r>
        <w:t xml:space="preserve"> </w:t>
      </w:r>
      <w:r>
        <w:t xml:space="preserve">October 24, 2024</w:t>
      </w:r>
    </w:p>
    <w:p>
      <w:pPr>
        <w:pStyle w:val="BodyText"/>
      </w:pPr>
      <w:r>
        <w:t xml:space="preserve">Location:</w:t>
      </w:r>
      <w:r>
        <w:t xml:space="preserve"> </w:t>
      </w:r>
      <w:r>
        <w:t xml:space="preserve">Tokyo, Japan</w:t>
      </w:r>
    </w:p>
    <w:p>
      <w:pPr>
        <w:pStyle w:val="BodyText"/>
      </w:pPr>
      <w:r>
        <w:t xml:space="preserve">Department:</w:t>
      </w:r>
      <w:r>
        <w:t xml:space="preserve"> </w:t>
      </w:r>
      <w:r>
        <w:t xml:space="preserve">Chemical Engineering Research</w:t>
      </w:r>
    </w:p>
    <w:p>
      <w:pPr>
        <w:pStyle w:val="BodyText"/>
      </w:pPr>
      <w:r>
        <w:t xml:space="preserve">Classification:</w:t>
      </w:r>
      <w:r>
        <w:t xml:space="preserve"> </w:t>
      </w:r>
      <w:r>
        <w:t xml:space="preserve">Internal Use Only</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conducting catalytic reactor optimization tests within the Tokyo research facility. The primary objective is to evaluate the efficiency and thermal stability of novel zeolite-based catalysts under high-pressure conditions. This protocol is designed specifically for the Chemical Engineer responsible for overseeing the experimental setup, data acquisition, and safety compliance.</w:t>
      </w:r>
    </w:p>
    <w:p>
      <w:pPr>
        <w:pStyle w:val="BodyText"/>
      </w:pPr>
      <w:r>
        <w:t xml:space="preserve">Given the stringent regulatory environment in Japan Tokyo, this document ensures alignment with local industrial safety standards, environmental protection laws, and corporate quality management systems. The scope includes reactor preparation, catalyst loading, reaction execution, and post-experiment analysis.</w:t>
      </w:r>
    </w:p>
    <w:bookmarkEnd w:id="21"/>
    <w:bookmarkStart w:id="22" w:name="Xc1bf6019d7c7f546cd756b019a9b2d8bdab0c79"/>
    <w:p>
      <w:pPr>
        <w:pStyle w:val="Heading2"/>
      </w:pPr>
      <w:r>
        <w:t xml:space="preserve">2. Regulatory Compliance and Safety Standards</w:t>
      </w:r>
    </w:p>
    <w:p>
      <w:pPr>
        <w:pStyle w:val="FirstParagraph"/>
      </w:pPr>
      <w:r>
        <w:t xml:space="preserve">All procedures must strictly adhere to the following regulations applicable in Tokyo, Japan:</w:t>
      </w:r>
    </w:p>
    <w:p>
      <w:pPr>
        <w:numPr>
          <w:ilvl w:val="0"/>
          <w:numId w:val="1001"/>
        </w:numPr>
        <w:pStyle w:val="Compact"/>
      </w:pPr>
      <w:r>
        <w:rPr>
          <w:bCs/>
          <w:b/>
        </w:rPr>
        <w:t xml:space="preserve">Fire Service Act:</w:t>
      </w:r>
      <w:r>
        <w:t xml:space="preserve"> </w:t>
      </w:r>
      <w:r>
        <w:t xml:space="preserve">Compliance with hazardous material storage and handling requirements.</w:t>
      </w:r>
    </w:p>
    <w:p>
      <w:pPr>
        <w:numPr>
          <w:ilvl w:val="0"/>
          <w:numId w:val="1001"/>
        </w:numPr>
        <w:pStyle w:val="Compact"/>
      </w:pPr>
      <w:r>
        <w:rPr>
          <w:bCs/>
          <w:b/>
        </w:rPr>
        <w:t xml:space="preserve">Industrial Safety and Health Act:</w:t>
      </w:r>
      <w:r>
        <w:t xml:space="preserve"> </w:t>
      </w:r>
      <w:r>
        <w:t xml:space="preserve">Implementation of necessary protective measures for personnel.</w:t>
      </w:r>
    </w:p>
    <w:p>
      <w:pPr>
        <w:numPr>
          <w:ilvl w:val="0"/>
          <w:numId w:val="1001"/>
        </w:numPr>
        <w:pStyle w:val="Compact"/>
      </w:pPr>
      <w:r>
        <w:rPr>
          <w:bCs/>
          <w:b/>
        </w:rPr>
        <w:t xml:space="preserve">Water Pollution Control Act:</w:t>
      </w:r>
      <w:r>
        <w:t xml:space="preserve"> </w:t>
      </w:r>
      <w:r>
        <w:t xml:space="preserve">Proper treatment and disposal of liquid effluents.</w:t>
      </w:r>
    </w:p>
    <w:p>
      <w:pPr>
        <w:numPr>
          <w:ilvl w:val="0"/>
          <w:numId w:val="1001"/>
        </w:numPr>
        <w:pStyle w:val="Compact"/>
      </w:pPr>
      <w:r>
        <w:rPr>
          <w:bCs/>
          <w:b/>
        </w:rPr>
        <w:t xml:space="preserve">Air Pollution Control Act:</w:t>
      </w:r>
      <w:r>
        <w:t xml:space="preserve"> </w:t>
      </w:r>
      <w:r>
        <w:t xml:space="preserve">Monitoring and control of gaseous emissions.</w:t>
      </w:r>
    </w:p>
    <w:p>
      <w:pPr>
        <w:pStyle w:val="FirstParagraph"/>
      </w:pPr>
      <w:r>
        <w:rPr>
          <w:bCs/>
          <w:b/>
        </w:rPr>
        <w:t xml:space="preserve">Warning:</w:t>
      </w:r>
      <w:r>
        <w:t xml:space="preserve"> </w:t>
      </w:r>
      <w:r>
        <w:t xml:space="preserve">Failure to comply with these regulations may result in legal penalties and operational shutdown. The Chemical Engineer must verify all permits are current before initiating the experiment.</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this experiment. All items must be inspected for integrity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Catalytic Reactor</w:t>
            </w:r>
          </w:p>
        </w:tc>
        <w:tc>
          <w:tcPr/>
          <w:p>
            <w:pPr>
              <w:pStyle w:val="Compact"/>
              <w:jc w:val="left"/>
            </w:pPr>
            <w:r>
              <w:t xml:space="preserve">Stainless Steel 316L, 500 mL capacity</w:t>
            </w:r>
          </w:p>
        </w:tc>
        <w:tc>
          <w:tcPr/>
          <w:p>
            <w:pPr>
              <w:pStyle w:val="Compact"/>
              <w:jc w:val="left"/>
            </w:pPr>
            <w:r>
              <w:t xml:space="preserve">1</w:t>
            </w:r>
          </w:p>
        </w:tc>
      </w:tr>
      <w:tr>
        <w:tc>
          <w:tcPr/>
          <w:p>
            <w:pPr>
              <w:pStyle w:val="Compact"/>
              <w:jc w:val="left"/>
            </w:pPr>
            <w:r>
              <w:t xml:space="preserve">Zeolite Catalyst</w:t>
            </w:r>
          </w:p>
        </w:tc>
        <w:tc>
          <w:tcPr/>
          <w:p>
            <w:pPr>
              <w:pStyle w:val="Compact"/>
              <w:jc w:val="left"/>
            </w:pPr>
            <w:r>
              <w:t xml:space="preserve">Custom synthesized, 50 mesh</w:t>
            </w:r>
          </w:p>
        </w:tc>
        <w:tc>
          <w:tcPr/>
          <w:p>
            <w:pPr>
              <w:pStyle w:val="Compact"/>
              <w:jc w:val="left"/>
            </w:pPr>
            <w:r>
              <w:t xml:space="preserve">50 g</w:t>
            </w:r>
          </w:p>
        </w:tc>
      </w:tr>
      <w:tr>
        <w:tc>
          <w:tcPr/>
          <w:p>
            <w:pPr>
              <w:pStyle w:val="Compact"/>
              <w:jc w:val="left"/>
            </w:pPr>
            <w:r>
              <w:t xml:space="preserve">Reactant Gas (Hydrogen)</w:t>
            </w:r>
          </w:p>
        </w:tc>
        <w:tc>
          <w:tcPr/>
          <w:p>
            <w:pPr>
              <w:pStyle w:val="Compact"/>
              <w:jc w:val="left"/>
            </w:pPr>
            <w:r>
              <w:t xml:space="preserve">Purity &gt; 99.999%</w:t>
            </w:r>
          </w:p>
        </w:tc>
        <w:tc>
          <w:tcPr/>
          <w:p>
            <w:pPr>
              <w:pStyle w:val="Compact"/>
              <w:jc w:val="left"/>
            </w:pPr>
            <w:r>
              <w:t xml:space="preserve">As needed</w:t>
            </w:r>
          </w:p>
        </w:tc>
      </w:tr>
      <w:tr>
        <w:tc>
          <w:tcPr/>
          <w:p>
            <w:pPr>
              <w:pStyle w:val="Compact"/>
              <w:jc w:val="left"/>
            </w:pPr>
            <w:r>
              <w:t xml:space="preserve">Pressure Transducer</w:t>
            </w:r>
          </w:p>
        </w:tc>
        <w:tc>
          <w:tcPr/>
          <w:p>
            <w:pPr>
              <w:pStyle w:val="Compact"/>
              <w:jc w:val="left"/>
            </w:pPr>
            <w:r>
              <w:t xml:space="preserve">Range: 0-10 MPa, Accuracy: ±0.1%</w:t>
            </w:r>
          </w:p>
        </w:tc>
        <w:tc>
          <w:tcPr/>
          <w:p>
            <w:pPr>
              <w:pStyle w:val="Compact"/>
              <w:jc w:val="left"/>
            </w:pPr>
            <w:r>
              <w:t xml:space="preserve">2</w:t>
            </w:r>
          </w:p>
        </w:tc>
      </w:tr>
      <w:tr>
        <w:tc>
          <w:tcPr/>
          <w:p>
            <w:pPr>
              <w:pStyle w:val="Compact"/>
              <w:jc w:val="left"/>
            </w:pPr>
            <w:r>
              <w:t xml:space="preserve">Thermocouples</w:t>
            </w:r>
          </w:p>
        </w:tc>
        <w:tc>
          <w:tcPr/>
          <w:p>
            <w:pPr>
              <w:pStyle w:val="Compact"/>
              <w:jc w:val="left"/>
            </w:pPr>
            <w:r>
              <w:t xml:space="preserve">Type K, calibrated</w:t>
            </w:r>
          </w:p>
        </w:tc>
        <w:tc>
          <w:tcPr/>
          <w:p>
            <w:pPr>
              <w:pStyle w:val="Compact"/>
              <w:jc w:val="left"/>
            </w:pPr>
            <w:r>
              <w:t xml:space="preserve">4</w:t>
            </w:r>
          </w:p>
        </w:tc>
      </w:tr>
      <w:tr>
        <w:tc>
          <w:tcPr/>
          <w:p>
            <w:pPr>
              <w:pStyle w:val="Compact"/>
              <w:jc w:val="left"/>
            </w:pPr>
            <w:r>
              <w:t xml:space="preserve">Gas Chromatograph</w:t>
            </w:r>
          </w:p>
        </w:tc>
        <w:tc>
          <w:tcPr/>
          <w:p>
            <w:pPr>
              <w:pStyle w:val="Compact"/>
              <w:jc w:val="left"/>
            </w:pPr>
            <w:r>
              <w:t xml:space="preserve">Online analysis system</w:t>
            </w:r>
          </w:p>
        </w:tc>
        <w:tc>
          <w:tcPr/>
          <w:p>
            <w:pPr>
              <w:pStyle w:val="Compact"/>
              <w:jc w:val="left"/>
            </w:pPr>
            <w:r>
              <w:t xml:space="preserve">1</w:t>
            </w:r>
          </w:p>
        </w:tc>
      </w:tr>
    </w:tbl>
    <w:bookmarkEnd w:id="23"/>
    <w:bookmarkStart w:id="28" w:name="experimental-procedure"/>
    <w:p>
      <w:pPr>
        <w:pStyle w:val="Heading2"/>
      </w:pPr>
      <w:r>
        <w:t xml:space="preserve">4. Experimental Procedure</w:t>
      </w:r>
    </w:p>
    <w:bookmarkStart w:id="24" w:name="pre-experiment-preparation"/>
    <w:p>
      <w:pPr>
        <w:pStyle w:val="Heading3"/>
      </w:pPr>
      <w:r>
        <w:t xml:space="preserve">4.1 Pre-Experiment Preparation</w:t>
      </w:r>
    </w:p>
    <w:p>
      <w:pPr>
        <w:numPr>
          <w:ilvl w:val="0"/>
          <w:numId w:val="1002"/>
        </w:numPr>
        <w:pStyle w:val="Compact"/>
      </w:pPr>
      <w:r>
        <w:t xml:space="preserve">Conduct a thorough inspection of the reactor vessel and associated piping for signs of corrosion or damage.</w:t>
      </w:r>
    </w:p>
    <w:p>
      <w:pPr>
        <w:numPr>
          <w:ilvl w:val="0"/>
          <w:numId w:val="1002"/>
        </w:numPr>
        <w:pStyle w:val="Compact"/>
      </w:pPr>
      <w:r>
        <w:t xml:space="preserve">Calibrate all pressure transducers and thermocouples according to the manufacturer's guidelines.</w:t>
      </w:r>
    </w:p>
    <w:p>
      <w:pPr>
        <w:numPr>
          <w:ilvl w:val="0"/>
          <w:numId w:val="1002"/>
        </w:numPr>
        <w:pStyle w:val="Compact"/>
      </w:pPr>
      <w:r>
        <w:t xml:space="preserve">Ensure the ventilation system in the Tokyo laboratory is operational and functioning at the required airflow rate.</w:t>
      </w:r>
    </w:p>
    <w:p>
      <w:pPr>
        <w:numPr>
          <w:ilvl w:val="0"/>
          <w:numId w:val="1002"/>
        </w:numPr>
        <w:pStyle w:val="Compact"/>
      </w:pPr>
      <w:r>
        <w:t xml:space="preserve">Prepare the catalyst by sieving to ensure uniform particle size distribution.</w:t>
      </w:r>
    </w:p>
    <w:bookmarkEnd w:id="24"/>
    <w:bookmarkStart w:id="25" w:name="catalyst-loading"/>
    <w:p>
      <w:pPr>
        <w:pStyle w:val="Heading3"/>
      </w:pPr>
      <w:r>
        <w:t xml:space="preserve">4.2 Catalyst Loading</w:t>
      </w:r>
    </w:p>
    <w:p>
      <w:pPr>
        <w:numPr>
          <w:ilvl w:val="0"/>
          <w:numId w:val="1003"/>
        </w:numPr>
        <w:pStyle w:val="Compact"/>
      </w:pPr>
      <w:r>
        <w:t xml:space="preserve">Wear appropriate personal protective equipment (PPE), including safety goggles, gloves, and a lab coat.</w:t>
      </w:r>
    </w:p>
    <w:p>
      <w:pPr>
        <w:numPr>
          <w:ilvl w:val="0"/>
          <w:numId w:val="1003"/>
        </w:numPr>
        <w:pStyle w:val="Compact"/>
      </w:pPr>
      <w:r>
        <w:t xml:space="preserve">Load the catalyst into the reactor using a clean, dry funnel to prevent contamination.</w:t>
      </w:r>
    </w:p>
    <w:p>
      <w:pPr>
        <w:numPr>
          <w:ilvl w:val="0"/>
          <w:numId w:val="1003"/>
        </w:numPr>
        <w:pStyle w:val="Compact"/>
      </w:pPr>
      <w:r>
        <w:t xml:space="preserve">Secure the reactor lid and tighten all bolts to the specified torque.</w:t>
      </w:r>
    </w:p>
    <w:bookmarkEnd w:id="25"/>
    <w:bookmarkStart w:id="26" w:name="reaction-execution"/>
    <w:p>
      <w:pPr>
        <w:pStyle w:val="Heading3"/>
      </w:pPr>
      <w:r>
        <w:t xml:space="preserve">4.3 Reaction Execution</w:t>
      </w:r>
    </w:p>
    <w:p>
      <w:pPr>
        <w:numPr>
          <w:ilvl w:val="0"/>
          <w:numId w:val="1004"/>
        </w:numPr>
        <w:pStyle w:val="Compact"/>
      </w:pPr>
      <w:r>
        <w:t xml:space="preserve">Purge the reactor with nitrogen gas three times to remove air and moisture.</w:t>
      </w:r>
    </w:p>
    <w:p>
      <w:pPr>
        <w:numPr>
          <w:ilvl w:val="0"/>
          <w:numId w:val="1004"/>
        </w:numPr>
        <w:pStyle w:val="Compact"/>
      </w:pPr>
      <w:r>
        <w:t xml:space="preserve">Introduce hydrogen gas to the reactor and gradually increase the pressure to the target level of 5 MPa.</w:t>
      </w:r>
    </w:p>
    <w:p>
      <w:pPr>
        <w:numPr>
          <w:ilvl w:val="0"/>
          <w:numId w:val="1004"/>
        </w:numPr>
        <w:pStyle w:val="Compact"/>
      </w:pPr>
      <w:r>
        <w:t xml:space="preserve">Begin heating the reactor at a rate of 5°C per minute until the target temperature of 350°C is reached.</w:t>
      </w:r>
    </w:p>
    <w:p>
      <w:pPr>
        <w:numPr>
          <w:ilvl w:val="0"/>
          <w:numId w:val="1004"/>
        </w:numPr>
        <w:pStyle w:val="Compact"/>
      </w:pPr>
      <w:r>
        <w:t xml:space="preserve">Monitor pressure and temperature readings continuously via the control system.</w:t>
      </w:r>
    </w:p>
    <w:p>
      <w:pPr>
        <w:numPr>
          <w:ilvl w:val="0"/>
          <w:numId w:val="1004"/>
        </w:numPr>
        <w:pStyle w:val="Compact"/>
      </w:pPr>
      <w:r>
        <w:t xml:space="preserve">Collect gas samples at regular intervals for analysis using the gas chromatograph.</w:t>
      </w:r>
    </w:p>
    <w:bookmarkEnd w:id="26"/>
    <w:bookmarkStart w:id="27" w:name="post-experiment-procedures"/>
    <w:p>
      <w:pPr>
        <w:pStyle w:val="Heading3"/>
      </w:pPr>
      <w:r>
        <w:t xml:space="preserve">4.4 Post-Experiment Procedures</w:t>
      </w:r>
    </w:p>
    <w:p>
      <w:pPr>
        <w:numPr>
          <w:ilvl w:val="0"/>
          <w:numId w:val="1005"/>
        </w:numPr>
        <w:pStyle w:val="Compact"/>
      </w:pPr>
      <w:r>
        <w:t xml:space="preserve">Gradually cool the reactor to room temperature while maintaining pressure.</w:t>
      </w:r>
    </w:p>
    <w:p>
      <w:pPr>
        <w:numPr>
          <w:ilvl w:val="0"/>
          <w:numId w:val="1005"/>
        </w:numPr>
        <w:pStyle w:val="Compact"/>
      </w:pPr>
      <w:r>
        <w:t xml:space="preserve">Slowly vent the reactor contents into the scrubber system to neutralize any hazardous gases.</w:t>
      </w:r>
    </w:p>
    <w:p>
      <w:pPr>
        <w:numPr>
          <w:ilvl w:val="0"/>
          <w:numId w:val="1005"/>
        </w:numPr>
        <w:pStyle w:val="Compact"/>
      </w:pPr>
      <w:r>
        <w:t xml:space="preserve">Remove the catalyst for further analysis and store it in a sealed container.</w:t>
      </w:r>
    </w:p>
    <w:p>
      <w:pPr>
        <w:numPr>
          <w:ilvl w:val="0"/>
          <w:numId w:val="1005"/>
        </w:numPr>
        <w:pStyle w:val="Compact"/>
      </w:pPr>
      <w:r>
        <w:t xml:space="preserve">Clean the reactor and all associated equipment thoroughly.</w:t>
      </w:r>
    </w:p>
    <w:bookmarkEnd w:id="27"/>
    <w:bookmarkEnd w:id="28"/>
    <w:bookmarkStart w:id="29" w:name="data-collection-and-analysis"/>
    <w:p>
      <w:pPr>
        <w:pStyle w:val="Heading2"/>
      </w:pPr>
      <w:r>
        <w:t xml:space="preserve">5. Data Collection and Analysis</w:t>
      </w:r>
    </w:p>
    <w:p>
      <w:pPr>
        <w:pStyle w:val="FirstParagraph"/>
      </w:pPr>
      <w:r>
        <w:t xml:space="preserve">The Chemical Engineer is responsible for recording all experimental data accurately. Key parameters to monitor include:</w:t>
      </w:r>
    </w:p>
    <w:p>
      <w:pPr>
        <w:numPr>
          <w:ilvl w:val="0"/>
          <w:numId w:val="1006"/>
        </w:numPr>
        <w:pStyle w:val="Compact"/>
      </w:pPr>
      <w:r>
        <w:t xml:space="preserve">Reactor temperature and pressure profiles over time.</w:t>
      </w:r>
    </w:p>
    <w:p>
      <w:pPr>
        <w:numPr>
          <w:ilvl w:val="0"/>
          <w:numId w:val="1006"/>
        </w:numPr>
        <w:pStyle w:val="Compact"/>
      </w:pPr>
      <w:r>
        <w:t xml:space="preserve">Conversion rates of reactants.</w:t>
      </w:r>
    </w:p>
    <w:p>
      <w:pPr>
        <w:numPr>
          <w:ilvl w:val="0"/>
          <w:numId w:val="1006"/>
        </w:numPr>
        <w:pStyle w:val="Compact"/>
      </w:pPr>
      <w:r>
        <w:t xml:space="preserve">Selectivity and yield of desired products.</w:t>
      </w:r>
    </w:p>
    <w:p>
      <w:pPr>
        <w:numPr>
          <w:ilvl w:val="0"/>
          <w:numId w:val="1006"/>
        </w:numPr>
        <w:pStyle w:val="Compact"/>
      </w:pPr>
      <w:r>
        <w:t xml:space="preserve">Any anomalies or deviations from expected behavior.</w:t>
      </w:r>
    </w:p>
    <w:p>
      <w:pPr>
        <w:pStyle w:val="FirstParagraph"/>
      </w:pPr>
      <w:r>
        <w:t xml:space="preserve">Data should be analyzed using statistical methods to determine the significance of the results. Any discrepancies must be investigated and documented.</w:t>
      </w:r>
    </w:p>
    <w:bookmarkEnd w:id="29"/>
    <w:bookmarkStart w:id="30" w:name="emergency-procedures"/>
    <w:p>
      <w:pPr>
        <w:pStyle w:val="Heading2"/>
      </w:pPr>
      <w:r>
        <w:t xml:space="preserve">6. Emergency Procedures</w:t>
      </w:r>
    </w:p>
    <w:p>
      <w:pPr>
        <w:pStyle w:val="FirstParagraph"/>
      </w:pPr>
      <w:r>
        <w:t xml:space="preserve">In the event of an emergency, the following steps must be taken immediately:</w:t>
      </w:r>
    </w:p>
    <w:p>
      <w:pPr>
        <w:numPr>
          <w:ilvl w:val="0"/>
          <w:numId w:val="1007"/>
        </w:numPr>
        <w:pStyle w:val="Compact"/>
      </w:pPr>
      <w:r>
        <w:t xml:space="preserve">Activate the emergency shutdown system to halt the reaction.</w:t>
      </w:r>
    </w:p>
    <w:p>
      <w:pPr>
        <w:numPr>
          <w:ilvl w:val="0"/>
          <w:numId w:val="1007"/>
        </w:numPr>
        <w:pStyle w:val="Compact"/>
      </w:pPr>
      <w:r>
        <w:t xml:space="preserve">Evacuate the laboratory and assemble at the designated meeting point.</w:t>
      </w:r>
    </w:p>
    <w:p>
      <w:pPr>
        <w:numPr>
          <w:ilvl w:val="0"/>
          <w:numId w:val="1007"/>
        </w:numPr>
        <w:pStyle w:val="Compact"/>
      </w:pPr>
      <w:r>
        <w:t xml:space="preserve">Contact the facility's emergency response team and provide details of the incident.</w:t>
      </w:r>
    </w:p>
    <w:p>
      <w:pPr>
        <w:numPr>
          <w:ilvl w:val="0"/>
          <w:numId w:val="1007"/>
        </w:numPr>
        <w:pStyle w:val="Compact"/>
      </w:pPr>
      <w:r>
        <w:t xml:space="preserve">If necessary, contact local emergency services in Tokyo.</w:t>
      </w:r>
    </w:p>
    <w:p>
      <w:pPr>
        <w:pStyle w:val="FirstParagraph"/>
      </w:pPr>
      <w:r>
        <w:rPr>
          <w:bCs/>
          <w:b/>
        </w:rPr>
        <w:t xml:space="preserve">Note:</w:t>
      </w:r>
      <w:r>
        <w:t xml:space="preserve"> </w:t>
      </w:r>
      <w:r>
        <w:t xml:space="preserve">All personnel must be familiar with the location of emergency exits, fire extinguishers, and eyewash stations.</w:t>
      </w:r>
    </w:p>
    <w:bookmarkEnd w:id="30"/>
    <w:bookmarkStart w:id="31" w:name="signatures-and-approvals"/>
    <w:p>
      <w:pPr>
        <w:pStyle w:val="Heading2"/>
      </w:pPr>
      <w:r>
        <w:t xml:space="preserve">7. Signatures and Approvals</w:t>
      </w:r>
    </w:p>
    <w:p>
      <w:pPr>
        <w:pStyle w:val="FirstParagraph"/>
      </w:pPr>
      <w:r>
        <w:t xml:space="preserve">This Experiment Protocol must be reviewed and approved by the relevant authorities before implementation.</w:t>
      </w:r>
    </w:p>
    <w:p>
      <w:pPr>
        <w:pStyle w:val="BodyText"/>
      </w:pPr>
      <w:r>
        <w:rPr>
          <w:bCs/>
          <w:b/>
        </w:rPr>
        <w:t xml:space="preserve">Prepared by:</w:t>
      </w:r>
    </w:p>
    <w:p>
      <w:pPr>
        <w:pStyle w:val="BodyText"/>
      </w:pPr>
      <w:r>
        <w:t xml:space="preserve">_________________________</w:t>
      </w:r>
    </w:p>
    <w:p>
      <w:pPr>
        <w:pStyle w:val="BodyText"/>
      </w:pPr>
      <w:r>
        <w:t xml:space="preserve">Name: [Chemical Engineer Name]</w:t>
      </w:r>
    </w:p>
    <w:p>
      <w:pPr>
        <w:pStyle w:val="BodyText"/>
      </w:pPr>
      <w:r>
        <w:t xml:space="preserve">Date: _________________</w:t>
      </w:r>
    </w:p>
    <w:p>
      <w:pPr>
        <w:pStyle w:val="BodyText"/>
      </w:pPr>
      <w:r>
        <w:rPr>
          <w:bCs/>
          <w:b/>
        </w:rPr>
        <w:t xml:space="preserve">Approved by:</w:t>
      </w:r>
    </w:p>
    <w:p>
      <w:pPr>
        <w:pStyle w:val="BodyText"/>
      </w:pPr>
      <w:r>
        <w:t xml:space="preserve">_________________________</w:t>
      </w:r>
    </w:p>
    <w:p>
      <w:pPr>
        <w:pStyle w:val="BodyText"/>
      </w:pPr>
      <w:r>
        <w:t xml:space="preserve">Name: [Lab Director Name]</w:t>
      </w:r>
    </w:p>
    <w:p>
      <w:pPr>
        <w:pStyle w:val="BodyText"/>
      </w:pPr>
      <w:r>
        <w:t xml:space="preserve">Date: _________________</w:t>
      </w:r>
    </w:p>
    <w:bookmarkEnd w:id="31"/>
    <w:p>
      <w:pPr>
        <w:pStyle w:val="BodyText"/>
      </w:pPr>
      <w:r>
        <w:t xml:space="preserve">© 2024 Chemical Engineering Research Division, Tokyo, Japan. All rights reserved.</w:t>
      </w:r>
    </w:p>
    <w:p>
      <w:pPr>
        <w:pStyle w:val="BodyText"/>
      </w:pPr>
      <w:r>
        <w:t xml:space="preserve">This document is confidential and intended solely for the use of authorized personnel.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Reactor Optimization</dc:title>
  <dc:creator/>
  <dc:language>en</dc:language>
  <cp:keywords/>
  <dcterms:created xsi:type="dcterms:W3CDTF">2026-10-10T01:16:47Z</dcterms:created>
  <dcterms:modified xsi:type="dcterms:W3CDTF">2026-10-10T01:16:47Z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