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is designed to guide a Chemical Engineer in conducting a controlled experiment within the industrial and environmental context of Kuwait, Kuwait City. The protocol ensures that all procedures are carried out safely, efficiently, and in compliance with local regulations and international standards.</w:t>
      </w:r>
    </w:p>
    <w:p>
      <w:pPr>
        <w:pStyle w:val="BodyText"/>
      </w:pPr>
      <w:r>
        <w:t xml:space="preserve">The primary objective of this experiment is to evaluate the efficiency of a novel catalytic process for desulfurization of heavy crude oil, a critical step in refining operations prevalent in Kuwait’s oil industry. The experiment will be conducted in a laboratory setting equipped with standard chemical engineering apparatus.</w:t>
      </w:r>
    </w:p>
    <w:bookmarkEnd w:id="21"/>
    <w:bookmarkStart w:id="22" w:name="objectives"/>
    <w:p>
      <w:pPr>
        <w:pStyle w:val="Heading2"/>
      </w:pPr>
      <w:r>
        <w:t xml:space="preserve">2. Objectives</w:t>
      </w:r>
    </w:p>
    <w:p>
      <w:pPr>
        <w:numPr>
          <w:ilvl w:val="0"/>
          <w:numId w:val="1001"/>
        </w:numPr>
        <w:pStyle w:val="Compact"/>
      </w:pPr>
      <w:r>
        <w:t xml:space="preserve">To assess the performance of a new catalyst in reducing sulfur content in heavy crude oil.</w:t>
      </w:r>
    </w:p>
    <w:p>
      <w:pPr>
        <w:numPr>
          <w:ilvl w:val="0"/>
          <w:numId w:val="1001"/>
        </w:numPr>
        <w:pStyle w:val="Compact"/>
      </w:pPr>
      <w:r>
        <w:t xml:space="preserve">To determine the optimal reaction conditions (temperature, pressure, and catalyst concentration).</w:t>
      </w:r>
    </w:p>
    <w:p>
      <w:pPr>
        <w:numPr>
          <w:ilvl w:val="0"/>
          <w:numId w:val="1001"/>
        </w:numPr>
        <w:pStyle w:val="Compact"/>
      </w:pPr>
      <w:r>
        <w:t xml:space="preserve">To ensure all procedures adhere to safety and environmental regulations specific to Kuwait City.</w:t>
      </w:r>
    </w:p>
    <w:bookmarkEnd w:id="22"/>
    <w:bookmarkStart w:id="23" w:name="materials-and-equipment"/>
    <w:p>
      <w:pPr>
        <w:pStyle w:val="Heading2"/>
      </w:pPr>
      <w:r>
        <w:t xml:space="preserve">3. Materials and Equipment</w:t>
      </w:r>
    </w:p>
    <w:p>
      <w:pPr>
        <w:numPr>
          <w:ilvl w:val="0"/>
          <w:numId w:val="1002"/>
        </w:numPr>
        <w:pStyle w:val="Compact"/>
      </w:pPr>
      <w:r>
        <w:t xml:space="preserve">Heavy crude oil sample (sourced from Kuwaiti oil fields)</w:t>
      </w:r>
    </w:p>
    <w:p>
      <w:pPr>
        <w:numPr>
          <w:ilvl w:val="0"/>
          <w:numId w:val="1002"/>
        </w:numPr>
        <w:pStyle w:val="Compact"/>
      </w:pPr>
      <w:r>
        <w:t xml:space="preserve">Novel desulfurization catalyst</w:t>
      </w:r>
    </w:p>
    <w:p>
      <w:pPr>
        <w:numPr>
          <w:ilvl w:val="0"/>
          <w:numId w:val="1002"/>
        </w:numPr>
        <w:pStyle w:val="Compact"/>
      </w:pPr>
      <w:r>
        <w:t xml:space="preserve">High-pressure reactor</w:t>
      </w:r>
    </w:p>
    <w:p>
      <w:pPr>
        <w:numPr>
          <w:ilvl w:val="0"/>
          <w:numId w:val="1002"/>
        </w:numPr>
        <w:pStyle w:val="Compact"/>
      </w:pPr>
      <w:r>
        <w:t xml:space="preserve">Temperature and pressure controllers</w:t>
      </w:r>
    </w:p>
    <w:p>
      <w:pPr>
        <w:numPr>
          <w:ilvl w:val="0"/>
          <w:numId w:val="1002"/>
        </w:numPr>
        <w:pStyle w:val="Compact"/>
      </w:pPr>
      <w:r>
        <w:t xml:space="preserve">Gas chromatograph for sulfur analysis</w:t>
      </w:r>
    </w:p>
    <w:p>
      <w:pPr>
        <w:numPr>
          <w:ilvl w:val="0"/>
          <w:numId w:val="1002"/>
        </w:numPr>
        <w:pStyle w:val="Compact"/>
      </w:pPr>
      <w:r>
        <w:t xml:space="preserve">Personal protective equipment (PPE): lab coat, gloves, safety goggles, face shield</w:t>
      </w:r>
    </w:p>
    <w:p>
      <w:pPr>
        <w:numPr>
          <w:ilvl w:val="0"/>
          <w:numId w:val="1002"/>
        </w:numPr>
        <w:pStyle w:val="Compact"/>
      </w:pPr>
      <w:r>
        <w:t xml:space="preserve">Fume hood and ventilation system</w:t>
      </w:r>
    </w:p>
    <w:p>
      <w:pPr>
        <w:numPr>
          <w:ilvl w:val="0"/>
          <w:numId w:val="1002"/>
        </w:numPr>
        <w:pStyle w:val="Compact"/>
      </w:pPr>
      <w:r>
        <w:t xml:space="preserve">Emergency shower and eyewash station</w:t>
      </w:r>
    </w:p>
    <w:bookmarkEnd w:id="23"/>
    <w:bookmarkStart w:id="24" w:name="safety-precautions"/>
    <w:p>
      <w:pPr>
        <w:pStyle w:val="Heading2"/>
      </w:pPr>
      <w:r>
        <w:t xml:space="preserve">4. Safety Precautions</w:t>
      </w:r>
    </w:p>
    <w:p>
      <w:pPr>
        <w:pStyle w:val="FirstParagraph"/>
      </w:pPr>
      <w:r>
        <w:t xml:space="preserve">Given the hazardous nature of the materials and processes involved, the following safety measures must be strictly followed:</w:t>
      </w:r>
    </w:p>
    <w:p>
      <w:pPr>
        <w:numPr>
          <w:ilvl w:val="0"/>
          <w:numId w:val="1003"/>
        </w:numPr>
        <w:pStyle w:val="Compact"/>
      </w:pPr>
      <w:r>
        <w:t xml:space="preserve">All personnel must wear appropriate PPE at all times.</w:t>
      </w:r>
    </w:p>
    <w:p>
      <w:pPr>
        <w:numPr>
          <w:ilvl w:val="0"/>
          <w:numId w:val="1003"/>
        </w:numPr>
        <w:pStyle w:val="Compact"/>
      </w:pPr>
      <w:r>
        <w:t xml:space="preserve">Ensure the laboratory is well-ventilated and equipped with a functioning fume hood.</w:t>
      </w:r>
    </w:p>
    <w:p>
      <w:pPr>
        <w:numPr>
          <w:ilvl w:val="0"/>
          <w:numId w:val="1003"/>
        </w:numPr>
        <w:pStyle w:val="Compact"/>
      </w:pPr>
      <w:r>
        <w:t xml:space="preserve">Keep emergency equipment (shower, eyewash, fire extinguisher) accessible and operational.</w:t>
      </w:r>
    </w:p>
    <w:p>
      <w:pPr>
        <w:numPr>
          <w:ilvl w:val="0"/>
          <w:numId w:val="1003"/>
        </w:numPr>
        <w:pStyle w:val="Compact"/>
      </w:pPr>
      <w:r>
        <w:t xml:space="preserve">Follow Kuwait’s occupational health and safety regulations, including those set by the Ministry of Health and the Public Authority for Industry.</w:t>
      </w:r>
    </w:p>
    <w:p>
      <w:pPr>
        <w:numPr>
          <w:ilvl w:val="0"/>
          <w:numId w:val="1003"/>
        </w:numPr>
        <w:pStyle w:val="Compact"/>
      </w:pPr>
      <w:r>
        <w:t xml:space="preserve">Conduct a risk assessment before starting the experiment and document all potential hazards.</w:t>
      </w:r>
    </w:p>
    <w:bookmarkEnd w:id="24"/>
    <w:bookmarkStart w:id="29" w:name="procedure"/>
    <w:p>
      <w:pPr>
        <w:pStyle w:val="Heading2"/>
      </w:pPr>
      <w:r>
        <w:t xml:space="preserve">5. Procedure</w:t>
      </w:r>
    </w:p>
    <w:bookmarkStart w:id="25" w:name="preparation"/>
    <w:p>
      <w:pPr>
        <w:pStyle w:val="Heading3"/>
      </w:pPr>
      <w:r>
        <w:t xml:space="preserve">5.1 Preparation</w:t>
      </w:r>
    </w:p>
    <w:p>
      <w:pPr>
        <w:numPr>
          <w:ilvl w:val="0"/>
          <w:numId w:val="1004"/>
        </w:numPr>
        <w:pStyle w:val="Compact"/>
      </w:pPr>
      <w:r>
        <w:t xml:space="preserve">Calibrate all instruments, including the gas chromatograph and reactor controls.</w:t>
      </w:r>
    </w:p>
    <w:p>
      <w:pPr>
        <w:numPr>
          <w:ilvl w:val="0"/>
          <w:numId w:val="1004"/>
        </w:numPr>
        <w:pStyle w:val="Compact"/>
      </w:pPr>
      <w:r>
        <w:t xml:space="preserve">Prepare the heavy crude oil sample by filtering out any solid impurities.</w:t>
      </w:r>
    </w:p>
    <w:p>
      <w:pPr>
        <w:numPr>
          <w:ilvl w:val="0"/>
          <w:numId w:val="1004"/>
        </w:numPr>
        <w:pStyle w:val="Compact"/>
      </w:pPr>
      <w:r>
        <w:t xml:space="preserve">Measure and weigh the required amount of catalyst.</w:t>
      </w:r>
    </w:p>
    <w:bookmarkEnd w:id="25"/>
    <w:bookmarkStart w:id="26" w:name="reaction-setup"/>
    <w:p>
      <w:pPr>
        <w:pStyle w:val="Heading3"/>
      </w:pPr>
      <w:r>
        <w:t xml:space="preserve">5.2 Reaction Setup</w:t>
      </w:r>
    </w:p>
    <w:p>
      <w:pPr>
        <w:numPr>
          <w:ilvl w:val="0"/>
          <w:numId w:val="1005"/>
        </w:numPr>
        <w:pStyle w:val="Compact"/>
      </w:pPr>
      <w:r>
        <w:t xml:space="preserve">Load the crude oil sample and catalyst into the high-pressure reactor.</w:t>
      </w:r>
    </w:p>
    <w:p>
      <w:pPr>
        <w:numPr>
          <w:ilvl w:val="0"/>
          <w:numId w:val="1005"/>
        </w:numPr>
        <w:pStyle w:val="Compact"/>
      </w:pPr>
      <w:r>
        <w:t xml:space="preserve">Seal the reactor and ensure all connections are tight to prevent leaks.</w:t>
      </w:r>
    </w:p>
    <w:p>
      <w:pPr>
        <w:numPr>
          <w:ilvl w:val="0"/>
          <w:numId w:val="1005"/>
        </w:numPr>
        <w:pStyle w:val="Compact"/>
      </w:pPr>
      <w:r>
        <w:t xml:space="preserve">Set the initial temperature and pressure according to the experimental design.</w:t>
      </w:r>
    </w:p>
    <w:bookmarkEnd w:id="26"/>
    <w:bookmarkStart w:id="27" w:name="reaction-execution"/>
    <w:p>
      <w:pPr>
        <w:pStyle w:val="Heading3"/>
      </w:pPr>
      <w:r>
        <w:t xml:space="preserve">5.3 Reaction Execution</w:t>
      </w:r>
    </w:p>
    <w:p>
      <w:pPr>
        <w:numPr>
          <w:ilvl w:val="0"/>
          <w:numId w:val="1006"/>
        </w:numPr>
        <w:pStyle w:val="Compact"/>
      </w:pPr>
      <w:r>
        <w:t xml:space="preserve">Gradually increase the temperature to the target level while monitoring pressure.</w:t>
      </w:r>
    </w:p>
    <w:p>
      <w:pPr>
        <w:numPr>
          <w:ilvl w:val="0"/>
          <w:numId w:val="1006"/>
        </w:numPr>
        <w:pStyle w:val="Compact"/>
      </w:pPr>
      <w:r>
        <w:t xml:space="preserve">Maintain the reaction conditions for the specified duration.</w:t>
      </w:r>
    </w:p>
    <w:p>
      <w:pPr>
        <w:numPr>
          <w:ilvl w:val="0"/>
          <w:numId w:val="1006"/>
        </w:numPr>
        <w:pStyle w:val="Compact"/>
      </w:pPr>
      <w:r>
        <w:t xml:space="preserve">Record temperature, pressure, and any observable changes at regular intervals.</w:t>
      </w:r>
    </w:p>
    <w:bookmarkEnd w:id="27"/>
    <w:bookmarkStart w:id="28" w:name="post-reaction-analysis"/>
    <w:p>
      <w:pPr>
        <w:pStyle w:val="Heading3"/>
      </w:pPr>
      <w:r>
        <w:t xml:space="preserve">5.4 Post-Reaction Analysis</w:t>
      </w:r>
    </w:p>
    <w:p>
      <w:pPr>
        <w:numPr>
          <w:ilvl w:val="0"/>
          <w:numId w:val="1007"/>
        </w:numPr>
        <w:pStyle w:val="Compact"/>
      </w:pPr>
      <w:r>
        <w:t xml:space="preserve">Allow the reactor to cool to room temperature before opening.</w:t>
      </w:r>
    </w:p>
    <w:p>
      <w:pPr>
        <w:numPr>
          <w:ilvl w:val="0"/>
          <w:numId w:val="1007"/>
        </w:numPr>
        <w:pStyle w:val="Compact"/>
      </w:pPr>
      <w:r>
        <w:t xml:space="preserve">Collect the product sample and analyze sulfur content using gas chromatography.</w:t>
      </w:r>
    </w:p>
    <w:p>
      <w:pPr>
        <w:numPr>
          <w:ilvl w:val="0"/>
          <w:numId w:val="1007"/>
        </w:numPr>
        <w:pStyle w:val="Compact"/>
      </w:pPr>
      <w:r>
        <w:t xml:space="preserve">Compare results with baseline data to evaluate catalyst performance.</w:t>
      </w:r>
    </w:p>
    <w:bookmarkEnd w:id="28"/>
    <w:bookmarkEnd w:id="29"/>
    <w:bookmarkStart w:id="30" w:name="data-recording-and-analysis"/>
    <w:p>
      <w:pPr>
        <w:pStyle w:val="Heading2"/>
      </w:pPr>
      <w:r>
        <w:t xml:space="preserve">6. Data Recording and Analysis</w:t>
      </w:r>
    </w:p>
    <w:p>
      <w:pPr>
        <w:pStyle w:val="FirstParagraph"/>
      </w:pPr>
      <w:r>
        <w:t xml:space="preserve">All experimental data must be recorded accurately and systematically. Use standardized data sheets and digital logs to track:</w:t>
      </w:r>
    </w:p>
    <w:p>
      <w:pPr>
        <w:numPr>
          <w:ilvl w:val="0"/>
          <w:numId w:val="1008"/>
        </w:numPr>
        <w:pStyle w:val="Compact"/>
      </w:pPr>
      <w:r>
        <w:t xml:space="preserve">Reaction conditions (temperature, pressure, time)</w:t>
      </w:r>
    </w:p>
    <w:p>
      <w:pPr>
        <w:numPr>
          <w:ilvl w:val="0"/>
          <w:numId w:val="1008"/>
        </w:numPr>
        <w:pStyle w:val="Compact"/>
      </w:pPr>
      <w:r>
        <w:t xml:space="preserve">Catalyst loading and crude oil properties</w:t>
      </w:r>
    </w:p>
    <w:p>
      <w:pPr>
        <w:numPr>
          <w:ilvl w:val="0"/>
          <w:numId w:val="1008"/>
        </w:numPr>
        <w:pStyle w:val="Compact"/>
      </w:pPr>
      <w:r>
        <w:t xml:space="preserve">Sulfur content before and after the reaction</w:t>
      </w:r>
    </w:p>
    <w:p>
      <w:pPr>
        <w:numPr>
          <w:ilvl w:val="0"/>
          <w:numId w:val="1008"/>
        </w:numPr>
        <w:pStyle w:val="Compact"/>
      </w:pPr>
      <w:r>
        <w:t xml:space="preserve">Any anomalies or deviations from the protocol</w:t>
      </w:r>
    </w:p>
    <w:p>
      <w:pPr>
        <w:pStyle w:val="FirstParagraph"/>
      </w:pPr>
      <w:r>
        <w:t xml:space="preserve">Data analysis should include statistical evaluation to determine the significance of the results. The Chemical Engineer must interpret the findings in the context of Kuwait’s refining industry needs and environmental standards.</w:t>
      </w:r>
    </w:p>
    <w:bookmarkEnd w:id="30"/>
    <w:bookmarkStart w:id="31" w:name="waste-disposal"/>
    <w:p>
      <w:pPr>
        <w:pStyle w:val="Heading2"/>
      </w:pPr>
      <w:r>
        <w:t xml:space="preserve">7. Waste Disposal</w:t>
      </w:r>
    </w:p>
    <w:p>
      <w:pPr>
        <w:pStyle w:val="FirstParagraph"/>
      </w:pPr>
      <w:r>
        <w:t xml:space="preserve">Proper disposal of chemical waste is critical to protect the environment and comply with Kuwaiti regulations:</w:t>
      </w:r>
    </w:p>
    <w:p>
      <w:pPr>
        <w:numPr>
          <w:ilvl w:val="0"/>
          <w:numId w:val="1009"/>
        </w:numPr>
        <w:pStyle w:val="Compact"/>
      </w:pPr>
      <w:r>
        <w:t xml:space="preserve">Segregate waste materials according to their chemical properties.</w:t>
      </w:r>
    </w:p>
    <w:p>
      <w:pPr>
        <w:numPr>
          <w:ilvl w:val="0"/>
          <w:numId w:val="1009"/>
        </w:numPr>
        <w:pStyle w:val="Compact"/>
      </w:pPr>
      <w:r>
        <w:t xml:space="preserve">Use designated containers for hazardous waste.</w:t>
      </w:r>
    </w:p>
    <w:p>
      <w:pPr>
        <w:numPr>
          <w:ilvl w:val="0"/>
          <w:numId w:val="1009"/>
        </w:numPr>
        <w:pStyle w:val="Compact"/>
      </w:pPr>
      <w:r>
        <w:t xml:space="preserve">Coordinate with the Public Authority for Environment for waste disposal procedures.</w:t>
      </w:r>
    </w:p>
    <w:p>
      <w:pPr>
        <w:numPr>
          <w:ilvl w:val="0"/>
          <w:numId w:val="1009"/>
        </w:numPr>
        <w:pStyle w:val="Compact"/>
      </w:pPr>
      <w:r>
        <w:t xml:space="preserve">Document all waste generated and disposed of during the experiment.</w:t>
      </w:r>
    </w:p>
    <w:bookmarkEnd w:id="31"/>
    <w:bookmarkStart w:id="32" w:name="conclusion"/>
    <w:p>
      <w:pPr>
        <w:pStyle w:val="Heading2"/>
      </w:pPr>
      <w:r>
        <w:t xml:space="preserve">8. Conclusion</w:t>
      </w:r>
    </w:p>
    <w:p>
      <w:pPr>
        <w:pStyle w:val="FirstParagraph"/>
      </w:pPr>
      <w:r>
        <w:t xml:space="preserve">This Experiment Protocol provides a comprehensive framework for a Chemical Engineer to conduct a desulfurization experiment in Kuwait, Kuwait City. By following these guidelines, the engineer can ensure the experiment is performed safely, efficiently, and in alignment with local industrial and environmental standards. The results will contribute to improving refining processes and reducing environmental impact in Kuwait’s oil sector.</w:t>
      </w:r>
    </w:p>
    <w:bookmarkEnd w:id="32"/>
    <w:bookmarkStart w:id="33" w:name="references"/>
    <w:p>
      <w:pPr>
        <w:pStyle w:val="Heading2"/>
      </w:pPr>
      <w:r>
        <w:t xml:space="preserve">9. References</w:t>
      </w:r>
    </w:p>
    <w:p>
      <w:pPr>
        <w:numPr>
          <w:ilvl w:val="0"/>
          <w:numId w:val="1010"/>
        </w:numPr>
        <w:pStyle w:val="Compact"/>
      </w:pPr>
      <w:r>
        <w:t xml:space="preserve">Kuwait Ministry of Health - Occupational Safety Guidelines</w:t>
      </w:r>
    </w:p>
    <w:p>
      <w:pPr>
        <w:numPr>
          <w:ilvl w:val="0"/>
          <w:numId w:val="1010"/>
        </w:numPr>
        <w:pStyle w:val="Compact"/>
      </w:pPr>
      <w:r>
        <w:t xml:space="preserve">Public Authority for Industry - Chemical Handling Regulations</w:t>
      </w:r>
    </w:p>
    <w:p>
      <w:pPr>
        <w:numPr>
          <w:ilvl w:val="0"/>
          <w:numId w:val="1010"/>
        </w:numPr>
        <w:pStyle w:val="Compact"/>
      </w:pPr>
      <w:r>
        <w:t xml:space="preserve">Public Authority for Environment - Waste Management Protocols</w:t>
      </w:r>
    </w:p>
    <w:p>
      <w:pPr>
        <w:numPr>
          <w:ilvl w:val="0"/>
          <w:numId w:val="1010"/>
        </w:numPr>
        <w:pStyle w:val="Compact"/>
      </w:pPr>
      <w:r>
        <w:t xml:space="preserve">International Standards for Chemical Engineering Experiments (ISO)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Kuwait City</dc:title>
  <dc:creator/>
  <dc:language>en</dc:language>
  <cp:keywords/>
  <dcterms:created xsi:type="dcterms:W3CDTF">2026-10-10T03:11:57Z</dcterms:created>
  <dcterms:modified xsi:type="dcterms:W3CDTF">2026-10-10T03:11:57Z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