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 Operations in Malaysia Kuala Lumpur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safety measures, and operational guidelines for conducting chemical engineering experiments in Malaysia Kuala Lumpur. The protocol is designed to ensure compliance with local regulations, maintain high safety standards, and achieve accurate and reproducible results. It is intended for use by Chemical Engineers working in laboratories, pilot plants, or industrial facilities within the Kuala Lumpur region.</w:t>
      </w:r>
    </w:p>
    <w:p>
      <w:pPr>
        <w:pStyle w:val="BodyText"/>
      </w:pPr>
      <w:r>
        <w:t xml:space="preserve">The unique environmental and regulatory context of Malaysia Kuala Lumpur, including its tropical climate and specific legal requirements, necessitates careful planning and execution of all experiments. This document serves as a comprehensive guide to address these considerations.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define standardized procedures for conducting chemical engineering experiments in Malaysia Kuala Lumpur.</w:t>
      </w:r>
    </w:p>
    <w:p>
      <w:pPr>
        <w:numPr>
          <w:ilvl w:val="0"/>
          <w:numId w:val="1001"/>
        </w:numPr>
        <w:pStyle w:val="Compact"/>
      </w:pPr>
      <w:r>
        <w:t xml:space="preserve">To ensure the safety of personnel, equipment, and the environment.</w:t>
      </w:r>
    </w:p>
    <w:p>
      <w:pPr>
        <w:numPr>
          <w:ilvl w:val="0"/>
          <w:numId w:val="1001"/>
        </w:numPr>
        <w:pStyle w:val="Compact"/>
      </w:pPr>
      <w:r>
        <w:t xml:space="preserve">To comply with local regulations, including those set by the Department of Environment (DOE) and the Occupational Safety and Health Commission (DOSH).</w:t>
      </w:r>
    </w:p>
    <w:p>
      <w:pPr>
        <w:numPr>
          <w:ilvl w:val="0"/>
          <w:numId w:val="1001"/>
        </w:numPr>
        <w:pStyle w:val="Compact"/>
      </w:pPr>
      <w:r>
        <w:t xml:space="preserve">To achieve reliable and reproducible experimental results.</w:t>
      </w:r>
    </w:p>
    <w:bookmarkEnd w:id="22"/>
    <w:bookmarkStart w:id="23" w:name="scope"/>
    <w:p>
      <w:pPr>
        <w:pStyle w:val="Heading2"/>
      </w:pPr>
      <w:r>
        <w:t xml:space="preserve">3. Scope</w:t>
      </w:r>
    </w:p>
    <w:p>
      <w:pPr>
        <w:pStyle w:val="FirstParagraph"/>
      </w:pPr>
      <w:r>
        <w:t xml:space="preserve">This protocol applies to all Chemical Engineers and supporting staff involved in experimental activities within Malaysia Kuala Lumpur. It covers:</w:t>
      </w:r>
    </w:p>
    <w:p>
      <w:pPr>
        <w:numPr>
          <w:ilvl w:val="0"/>
          <w:numId w:val="1002"/>
        </w:numPr>
        <w:pStyle w:val="Compact"/>
      </w:pPr>
      <w:r>
        <w:t xml:space="preserve">Preparation and setup of experimental equipment.</w:t>
      </w:r>
    </w:p>
    <w:p>
      <w:pPr>
        <w:numPr>
          <w:ilvl w:val="0"/>
          <w:numId w:val="1002"/>
        </w:numPr>
        <w:pStyle w:val="Compact"/>
      </w:pPr>
      <w:r>
        <w:t xml:space="preserve">Handling and storage of chemicals.</w:t>
      </w:r>
    </w:p>
    <w:p>
      <w:pPr>
        <w:numPr>
          <w:ilvl w:val="0"/>
          <w:numId w:val="1002"/>
        </w:numPr>
        <w:pStyle w:val="Compact"/>
      </w:pPr>
      <w:r>
        <w:t xml:space="preserve">Execution of experiments.</w:t>
      </w:r>
    </w:p>
    <w:p>
      <w:pPr>
        <w:numPr>
          <w:ilvl w:val="0"/>
          <w:numId w:val="1002"/>
        </w:numPr>
        <w:pStyle w:val="Compact"/>
      </w:pPr>
      <w:r>
        <w:t xml:space="preserve">Data collection and analysis.</w:t>
      </w:r>
    </w:p>
    <w:p>
      <w:pPr>
        <w:numPr>
          <w:ilvl w:val="0"/>
          <w:numId w:val="1002"/>
        </w:numPr>
        <w:pStyle w:val="Compact"/>
      </w:pPr>
      <w:r>
        <w:t xml:space="preserve">Waste management and disposal.</w:t>
      </w:r>
    </w:p>
    <w:p>
      <w:pPr>
        <w:pStyle w:val="FirstParagraph"/>
      </w:pPr>
      <w:r>
        <w:t xml:space="preserve">The protocol is particularly relevant for experiments involving hazardous materials, high-pressure systems, or processes that may impact the local environment.</w:t>
      </w:r>
    </w:p>
    <w:bookmarkEnd w:id="23"/>
    <w:bookmarkStart w:id="24" w:name="regulatory-compliance"/>
    <w:p>
      <w:pPr>
        <w:pStyle w:val="Heading2"/>
      </w:pPr>
      <w:r>
        <w:t xml:space="preserve">4. Regulatory Compliance</w:t>
      </w:r>
    </w:p>
    <w:p>
      <w:pPr>
        <w:pStyle w:val="FirstParagraph"/>
      </w:pPr>
      <w:r>
        <w:t xml:space="preserve">All experiments must comply with the following regulations applicable in Malaysia Kuala Lumpur:</w:t>
      </w:r>
    </w:p>
    <w:p>
      <w:pPr>
        <w:numPr>
          <w:ilvl w:val="0"/>
          <w:numId w:val="1003"/>
        </w:numPr>
        <w:pStyle w:val="Compact"/>
      </w:pPr>
      <w:r>
        <w:rPr>
          <w:bCs/>
          <w:b/>
        </w:rPr>
        <w:t xml:space="preserve">Occupational Safety and Health Act 1994 (OSHA):</w:t>
      </w:r>
      <w:r>
        <w:t xml:space="preserve"> </w:t>
      </w:r>
      <w:r>
        <w:t xml:space="preserve">Ensures the safety and health of workers.</w:t>
      </w:r>
    </w:p>
    <w:p>
      <w:pPr>
        <w:numPr>
          <w:ilvl w:val="0"/>
          <w:numId w:val="1003"/>
        </w:numPr>
        <w:pStyle w:val="Compact"/>
      </w:pPr>
      <w:r>
        <w:rPr>
          <w:bCs/>
          <w:b/>
        </w:rPr>
        <w:t xml:space="preserve">Environmental Quality Act 1974:</w:t>
      </w:r>
      <w:r>
        <w:t xml:space="preserve"> </w:t>
      </w:r>
      <w:r>
        <w:t xml:space="preserve">Regulates the discharge of pollutants and waste management.</w:t>
      </w:r>
    </w:p>
    <w:p>
      <w:pPr>
        <w:numPr>
          <w:ilvl w:val="0"/>
          <w:numId w:val="1003"/>
        </w:numPr>
        <w:pStyle w:val="Compact"/>
      </w:pPr>
      <w:r>
        <w:rPr>
          <w:bCs/>
          <w:b/>
        </w:rPr>
        <w:t xml:space="preserve">Factories and Machinery Act 1967:</w:t>
      </w:r>
      <w:r>
        <w:t xml:space="preserve"> </w:t>
      </w:r>
      <w:r>
        <w:t xml:space="preserve">Governs the safety of machinery and equipment.</w:t>
      </w:r>
    </w:p>
    <w:p>
      <w:pPr>
        <w:numPr>
          <w:ilvl w:val="0"/>
          <w:numId w:val="1003"/>
        </w:numPr>
        <w:pStyle w:val="Compact"/>
      </w:pPr>
      <w:r>
        <w:rPr>
          <w:bCs/>
          <w:b/>
        </w:rPr>
        <w:t xml:space="preserve">Local Kuala Lumpur Guidelines:</w:t>
      </w:r>
      <w:r>
        <w:t xml:space="preserve"> </w:t>
      </w:r>
      <w:r>
        <w:t xml:space="preserve">Specific requirements for industrial activities in the city.</w:t>
      </w:r>
    </w:p>
    <w:p>
      <w:pPr>
        <w:pStyle w:val="FirstParagraph"/>
      </w:pPr>
      <w:r>
        <w:t xml:space="preserve">Chemical Engineers must stay updated on any changes to these regulations and ensure that all experimental activities are conducted in accordance with the latest legal requirements.</w:t>
      </w:r>
    </w:p>
    <w:bookmarkEnd w:id="24"/>
    <w:bookmarkStart w:id="25" w:name="safety-measures"/>
    <w:p>
      <w:pPr>
        <w:pStyle w:val="Heading2"/>
      </w:pPr>
      <w:r>
        <w:t xml:space="preserve">5. Safety Measures</w:t>
      </w:r>
    </w:p>
    <w:p>
      <w:pPr>
        <w:pStyle w:val="FirstParagraph"/>
      </w:pPr>
      <w:r>
        <w:t xml:space="preserve">Safety is the top priority in all experimental activities. The following measures must be strictly followed:</w:t>
      </w:r>
    </w:p>
    <w:p>
      <w:pPr>
        <w:numPr>
          <w:ilvl w:val="0"/>
          <w:numId w:val="1004"/>
        </w:numPr>
        <w:pStyle w:val="Compact"/>
      </w:pPr>
      <w:r>
        <w:rPr>
          <w:bCs/>
          <w:b/>
        </w:rPr>
        <w:t xml:space="preserve">Personal Protective Equipment (PPE):</w:t>
      </w:r>
      <w:r>
        <w:t xml:space="preserve"> </w:t>
      </w:r>
      <w:r>
        <w:t xml:space="preserve">All personnel must wear appropriate PPE, including lab coats, safety goggles, gloves, and closed-toe shoes.</w:t>
      </w:r>
    </w:p>
    <w:p>
      <w:pPr>
        <w:numPr>
          <w:ilvl w:val="0"/>
          <w:numId w:val="1004"/>
        </w:numPr>
        <w:pStyle w:val="Compact"/>
      </w:pPr>
      <w:r>
        <w:rPr>
          <w:bCs/>
          <w:b/>
        </w:rPr>
        <w:t xml:space="preserve">Emergency Procedures:</w:t>
      </w:r>
      <w:r>
        <w:t xml:space="preserve"> </w:t>
      </w:r>
      <w:r>
        <w:t xml:space="preserve">Familiarize all staff with emergency protocols, including evacuation routes, fire extinguisher locations, and first aid procedures.</w:t>
      </w:r>
    </w:p>
    <w:p>
      <w:pPr>
        <w:numPr>
          <w:ilvl w:val="0"/>
          <w:numId w:val="1004"/>
        </w:numPr>
        <w:pStyle w:val="Compact"/>
      </w:pPr>
      <w:r>
        <w:rPr>
          <w:bCs/>
          <w:b/>
        </w:rPr>
        <w:t xml:space="preserve">Chemical Handling:</w:t>
      </w:r>
      <w:r>
        <w:t xml:space="preserve"> </w:t>
      </w:r>
      <w:r>
        <w:t xml:space="preserve">Follow proper procedures for handling, storing, and disposing of chemicals. Use fume hoods for volatile substances.</w:t>
      </w:r>
    </w:p>
    <w:p>
      <w:pPr>
        <w:numPr>
          <w:ilvl w:val="0"/>
          <w:numId w:val="1004"/>
        </w:numPr>
        <w:pStyle w:val="Compact"/>
      </w:pPr>
      <w:r>
        <w:rPr>
          <w:bCs/>
          <w:b/>
        </w:rPr>
        <w:t xml:space="preserve">Equipment Safety:</w:t>
      </w:r>
      <w:r>
        <w:t xml:space="preserve"> </w:t>
      </w:r>
      <w:r>
        <w:t xml:space="preserve">Regularly inspect and maintain all equipment to prevent malfunctions.</w:t>
      </w:r>
    </w:p>
    <w:p>
      <w:pPr>
        <w:numPr>
          <w:ilvl w:val="0"/>
          <w:numId w:val="1004"/>
        </w:numPr>
        <w:pStyle w:val="Compact"/>
      </w:pPr>
      <w:r>
        <w:rPr>
          <w:bCs/>
          <w:b/>
        </w:rPr>
        <w:t xml:space="preserve">Training:</w:t>
      </w:r>
      <w:r>
        <w:t xml:space="preserve"> </w:t>
      </w:r>
      <w:r>
        <w:t xml:space="preserve">Ensure all personnel are trained in safety protocols and experimental procedures.</w:t>
      </w:r>
    </w:p>
    <w:p>
      <w:pPr>
        <w:pStyle w:val="FirstParagraph"/>
      </w:pPr>
      <w:r>
        <w:rPr>
          <w:bCs/>
          <w:b/>
        </w:rPr>
        <w:t xml:space="preserve">Note:</w:t>
      </w:r>
      <w:r>
        <w:t xml:space="preserve"> </w:t>
      </w:r>
      <w:r>
        <w:t xml:space="preserve">In Malaysia Kuala Lumpur, the high humidity and temperature can affect the stability of certain chemicals. Additional precautions may be necessary to prevent degradation or hazardous reactions.</w:t>
      </w:r>
    </w:p>
    <w:bookmarkEnd w:id="25"/>
    <w:bookmarkStart w:id="26" w:name="experimental-procedures"/>
    <w:p>
      <w:pPr>
        <w:pStyle w:val="Heading2"/>
      </w:pPr>
      <w:r>
        <w:t xml:space="preserve">6. Experimental Procedures</w:t>
      </w:r>
    </w:p>
    <w:p>
      <w:pPr>
        <w:pStyle w:val="FirstParagraph"/>
      </w:pPr>
      <w:r>
        <w:t xml:space="preserve">The following steps outline the general procedure for conducting experiments:</w:t>
      </w:r>
    </w:p>
    <w:p>
      <w:pPr>
        <w:numPr>
          <w:ilvl w:val="0"/>
          <w:numId w:val="1005"/>
        </w:numPr>
        <w:pStyle w:val="Compact"/>
      </w:pPr>
      <w:r>
        <w:rPr>
          <w:bCs/>
          <w:b/>
        </w:rPr>
        <w:t xml:space="preserve">Preparation:</w:t>
      </w:r>
      <w:r>
        <w:t xml:space="preserve"> </w:t>
      </w:r>
      <w:r>
        <w:t xml:space="preserve">Review the experimental plan and ensure all materials and equipment are available.</w:t>
      </w:r>
    </w:p>
    <w:p>
      <w:pPr>
        <w:numPr>
          <w:ilvl w:val="0"/>
          <w:numId w:val="1005"/>
        </w:numPr>
        <w:pStyle w:val="Compact"/>
      </w:pPr>
      <w:r>
        <w:rPr>
          <w:bCs/>
          <w:b/>
        </w:rPr>
        <w:t xml:space="preserve">Setup:</w:t>
      </w:r>
      <w:r>
        <w:t xml:space="preserve"> </w:t>
      </w:r>
      <w:r>
        <w:t xml:space="preserve">Assemble and calibrate equipment according to manufacturer specifications.</w:t>
      </w:r>
    </w:p>
    <w:p>
      <w:pPr>
        <w:numPr>
          <w:ilvl w:val="0"/>
          <w:numId w:val="1005"/>
        </w:numPr>
        <w:pStyle w:val="Compact"/>
      </w:pPr>
      <w:r>
        <w:rPr>
          <w:bCs/>
          <w:b/>
        </w:rPr>
        <w:t xml:space="preserve">Execution:</w:t>
      </w:r>
      <w:r>
        <w:t xml:space="preserve"> </w:t>
      </w:r>
      <w:r>
        <w:t xml:space="preserve">Conduct the experiment following the predefined steps. Monitor all parameters closely.</w:t>
      </w:r>
    </w:p>
    <w:p>
      <w:pPr>
        <w:numPr>
          <w:ilvl w:val="0"/>
          <w:numId w:val="1005"/>
        </w:numPr>
        <w:pStyle w:val="Compact"/>
      </w:pPr>
      <w:r>
        <w:rPr>
          <w:bCs/>
          <w:b/>
        </w:rPr>
        <w:t xml:space="preserve">Data Collection:</w:t>
      </w:r>
      <w:r>
        <w:t xml:space="preserve"> </w:t>
      </w:r>
      <w:r>
        <w:t xml:space="preserve">Record all observations and measurements accurately.</w:t>
      </w:r>
    </w:p>
    <w:p>
      <w:pPr>
        <w:numPr>
          <w:ilvl w:val="0"/>
          <w:numId w:val="1005"/>
        </w:numPr>
        <w:pStyle w:val="Compact"/>
      </w:pPr>
      <w:r>
        <w:rPr>
          <w:bCs/>
          <w:b/>
        </w:rPr>
        <w:t xml:space="preserve">Cleanup:</w:t>
      </w:r>
      <w:r>
        <w:t xml:space="preserve"> </w:t>
      </w:r>
      <w:r>
        <w:t xml:space="preserve">Properly dispose of waste and clean all equipment.</w:t>
      </w:r>
    </w:p>
    <w:p>
      <w:pPr>
        <w:pStyle w:val="FirstParagraph"/>
      </w:pPr>
      <w:r>
        <w:t xml:space="preserve">Each experiment should have a detailed protocol specific to its objectives and requirements. This general procedure serves as a framework to ensure consistency and safety.</w:t>
      </w:r>
    </w:p>
    <w:bookmarkEnd w:id="26"/>
    <w:bookmarkStart w:id="27" w:name="waste-management"/>
    <w:p>
      <w:pPr>
        <w:pStyle w:val="Heading2"/>
      </w:pPr>
      <w:r>
        <w:t xml:space="preserve">7. Waste Management</w:t>
      </w:r>
    </w:p>
    <w:p>
      <w:pPr>
        <w:pStyle w:val="FirstParagraph"/>
      </w:pPr>
      <w:r>
        <w:t xml:space="preserve">Proper waste management is critical to protect the environment and comply with regulations. The following guidelines must be followed:</w:t>
      </w:r>
    </w:p>
    <w:p>
      <w:pPr>
        <w:numPr>
          <w:ilvl w:val="0"/>
          <w:numId w:val="1006"/>
        </w:numPr>
        <w:pStyle w:val="Compact"/>
      </w:pPr>
      <w:r>
        <w:rPr>
          <w:bCs/>
          <w:b/>
        </w:rPr>
        <w:t xml:space="preserve">Segregation:</w:t>
      </w:r>
      <w:r>
        <w:t xml:space="preserve"> </w:t>
      </w:r>
      <w:r>
        <w:t xml:space="preserve">Separate waste into categories such as hazardous, non-hazardous, and recyclable.</w:t>
      </w:r>
    </w:p>
    <w:p>
      <w:pPr>
        <w:numPr>
          <w:ilvl w:val="0"/>
          <w:numId w:val="1006"/>
        </w:numPr>
        <w:pStyle w:val="Compact"/>
      </w:pPr>
      <w:r>
        <w:rPr>
          <w:bCs/>
          <w:b/>
        </w:rPr>
        <w:t xml:space="preserve">Storage:</w:t>
      </w:r>
      <w:r>
        <w:t xml:space="preserve"> </w:t>
      </w:r>
      <w:r>
        <w:t xml:space="preserve">Store waste in labeled, sealed containers in designated areas.</w:t>
      </w:r>
    </w:p>
    <w:p>
      <w:pPr>
        <w:numPr>
          <w:ilvl w:val="0"/>
          <w:numId w:val="1006"/>
        </w:numPr>
        <w:pStyle w:val="Compact"/>
      </w:pPr>
      <w:r>
        <w:rPr>
          <w:bCs/>
          <w:b/>
        </w:rPr>
        <w:t xml:space="preserve">Disposal:</w:t>
      </w:r>
      <w:r>
        <w:t xml:space="preserve"> </w:t>
      </w:r>
      <w:r>
        <w:t xml:space="preserve">Use licensed waste disposal services approved by the Department of Environment.</w:t>
      </w:r>
    </w:p>
    <w:p>
      <w:pPr>
        <w:numPr>
          <w:ilvl w:val="0"/>
          <w:numId w:val="1006"/>
        </w:numPr>
        <w:pStyle w:val="Compact"/>
      </w:pPr>
      <w:r>
        <w:rPr>
          <w:bCs/>
          <w:b/>
        </w:rPr>
        <w:t xml:space="preserve">Documentation:</w:t>
      </w:r>
      <w:r>
        <w:t xml:space="preserve"> </w:t>
      </w:r>
      <w:r>
        <w:t xml:space="preserve">Maintain records of all waste generated and disposed of.</w:t>
      </w:r>
    </w:p>
    <w:p>
      <w:pPr>
        <w:pStyle w:val="FirstParagraph"/>
      </w:pPr>
      <w:r>
        <w:t xml:space="preserve">In Malaysia Kuala Lumpur, improper waste disposal can lead to severe penalties and environmental damage. Chemical Engineers must ensure that all waste is handled responsibly.</w:t>
      </w:r>
    </w:p>
    <w:bookmarkEnd w:id="27"/>
    <w:bookmarkStart w:id="28" w:name="data-management"/>
    <w:p>
      <w:pPr>
        <w:pStyle w:val="Heading2"/>
      </w:pPr>
      <w:r>
        <w:t xml:space="preserve">8. Data Management</w:t>
      </w:r>
    </w:p>
    <w:p>
      <w:pPr>
        <w:pStyle w:val="FirstParagraph"/>
      </w:pPr>
      <w:r>
        <w:t xml:space="preserve">Accurate data management is essential for the integrity of experimental results. The following practices should be adopted:</w:t>
      </w:r>
    </w:p>
    <w:p>
      <w:pPr>
        <w:numPr>
          <w:ilvl w:val="0"/>
          <w:numId w:val="1007"/>
        </w:numPr>
        <w:pStyle w:val="Compact"/>
      </w:pPr>
      <w:r>
        <w:rPr>
          <w:bCs/>
          <w:b/>
        </w:rPr>
        <w:t xml:space="preserve">Recording:</w:t>
      </w:r>
      <w:r>
        <w:t xml:space="preserve"> </w:t>
      </w:r>
      <w:r>
        <w:t xml:space="preserve">Use standardized forms or digital systems to record data.</w:t>
      </w:r>
    </w:p>
    <w:p>
      <w:pPr>
        <w:numPr>
          <w:ilvl w:val="0"/>
          <w:numId w:val="1007"/>
        </w:numPr>
        <w:pStyle w:val="Compact"/>
      </w:pPr>
      <w:r>
        <w:rPr>
          <w:bCs/>
          <w:b/>
        </w:rPr>
        <w:t xml:space="preserve">Storage:</w:t>
      </w:r>
      <w:r>
        <w:t xml:space="preserve"> </w:t>
      </w:r>
      <w:r>
        <w:t xml:space="preserve">Store data securely, with backups to prevent loss.</w:t>
      </w:r>
    </w:p>
    <w:p>
      <w:pPr>
        <w:numPr>
          <w:ilvl w:val="0"/>
          <w:numId w:val="1007"/>
        </w:numPr>
        <w:pStyle w:val="Compact"/>
      </w:pPr>
      <w:r>
        <w:rPr>
          <w:bCs/>
          <w:b/>
        </w:rPr>
        <w:t xml:space="preserve">Analysis:</w:t>
      </w:r>
      <w:r>
        <w:t xml:space="preserve"> </w:t>
      </w:r>
      <w:r>
        <w:t xml:space="preserve">Use appropriate statistical methods to analyze data.</w:t>
      </w:r>
    </w:p>
    <w:p>
      <w:pPr>
        <w:numPr>
          <w:ilvl w:val="0"/>
          <w:numId w:val="1007"/>
        </w:numPr>
        <w:pStyle w:val="Compact"/>
      </w:pPr>
      <w:r>
        <w:rPr>
          <w:bCs/>
          <w:b/>
        </w:rPr>
        <w:t xml:space="preserve">Reporting:</w:t>
      </w:r>
      <w:r>
        <w:t xml:space="preserve"> </w:t>
      </w:r>
      <w:r>
        <w:t xml:space="preserve">Prepare clear and concise reports summarizing the findings.</w:t>
      </w:r>
    </w:p>
    <w:p>
      <w:pPr>
        <w:pStyle w:val="FirstParagraph"/>
      </w:pPr>
      <w:r>
        <w:t xml:space="preserve">Data should be reviewed regularly to identify any anomalies or errors. This ensures the reliability of the results and supports informed decision-making.</w:t>
      </w:r>
    </w:p>
    <w:bookmarkEnd w:id="28"/>
    <w:bookmarkStart w:id="29" w:name="conclusion"/>
    <w:p>
      <w:pPr>
        <w:pStyle w:val="Heading2"/>
      </w:pPr>
      <w:r>
        <w:t xml:space="preserve">9. Conclusion</w:t>
      </w:r>
    </w:p>
    <w:p>
      <w:pPr>
        <w:pStyle w:val="FirstParagraph"/>
      </w:pPr>
      <w:r>
        <w:t xml:space="preserve">This Experiment Protocol provides a comprehensive framework for conducting chemical engineering experiments in Malaysia Kuala Lumpur. By adhering to these guidelines, Chemical Engineers can ensure the safety of personnel, compliance with regulations, and the quality of experimental results. Continuous improvement and adaptation to new challenges are essential to maintain high standards in this dynamic field.</w:t>
      </w:r>
    </w:p>
    <w:bookmarkEnd w:id="29"/>
    <w:bookmarkStart w:id="30" w:name="references"/>
    <w:p>
      <w:pPr>
        <w:pStyle w:val="Heading2"/>
      </w:pPr>
      <w:r>
        <w:t xml:space="preserve">10. References</w:t>
      </w:r>
    </w:p>
    <w:p>
      <w:pPr>
        <w:numPr>
          <w:ilvl w:val="0"/>
          <w:numId w:val="1008"/>
        </w:numPr>
        <w:pStyle w:val="Compact"/>
      </w:pPr>
      <w:r>
        <w:t xml:space="preserve">Occupational Safety and Health Act 1994 (Malaysia)</w:t>
      </w:r>
    </w:p>
    <w:p>
      <w:pPr>
        <w:numPr>
          <w:ilvl w:val="0"/>
          <w:numId w:val="1008"/>
        </w:numPr>
        <w:pStyle w:val="Compact"/>
      </w:pPr>
      <w:r>
        <w:t xml:space="preserve">Environmental Quality Act 1974 (Malaysia)</w:t>
      </w:r>
    </w:p>
    <w:p>
      <w:pPr>
        <w:numPr>
          <w:ilvl w:val="0"/>
          <w:numId w:val="1008"/>
        </w:numPr>
        <w:pStyle w:val="Compact"/>
      </w:pPr>
      <w:r>
        <w:t xml:space="preserve">Factories and Machinery Act 1967 (Malaysia)</w:t>
      </w:r>
    </w:p>
    <w:p>
      <w:pPr>
        <w:numPr>
          <w:ilvl w:val="0"/>
          <w:numId w:val="1008"/>
        </w:numPr>
        <w:pStyle w:val="Compact"/>
      </w:pPr>
      <w:r>
        <w:t xml:space="preserve">Kuala Lumpur City Hall Guidelines for Industrial Activities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Malaysia Kuala Lumpur</dc:title>
  <dc:creator/>
  <dc:language>en</dc:language>
  <cp:keywords/>
  <dcterms:created xsi:type="dcterms:W3CDTF">2026-10-10T07:31:31Z</dcterms:created>
  <dcterms:modified xsi:type="dcterms:W3CDTF">2026-10-10T07:31:31Z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