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Quality</w:t>
      </w:r>
      <w:r>
        <w:t xml:space="preserve"> </w:t>
      </w:r>
      <w:r>
        <w:t xml:space="preserve">Analysis</w:t>
      </w:r>
      <w:r>
        <w:t xml:space="preserve"> </w:t>
      </w:r>
      <w:r>
        <w:t xml:space="preserve">for</w:t>
      </w:r>
      <w:r>
        <w:t xml:space="preserve"> </w:t>
      </w:r>
      <w:r>
        <w:t xml:space="preserve">Industrial</w:t>
      </w:r>
      <w:r>
        <w:t xml:space="preserve"> </w:t>
      </w:r>
      <w:r>
        <w:t xml:space="preserve">Applications</w:t>
      </w:r>
    </w:p>
    <w:bookmarkStart w:id="31" w:name="X665cae84b79766ad6305b38d7f74708fcc1d573"/>
    <w:p>
      <w:pPr>
        <w:pStyle w:val="Heading1"/>
      </w:pPr>
      <w:r>
        <w:t xml:space="preserve">Experiment Protocol: Comprehensive Water Quality Analysis for Industrial Process Optimization</w:t>
      </w:r>
    </w:p>
    <w:p>
      <w:pPr>
        <w:pStyle w:val="FirstParagraph"/>
      </w:pPr>
      <w:r>
        <w:rPr>
          <w:bCs/>
          <w:b/>
        </w:rPr>
        <w:t xml:space="preserve">Document ID:</w:t>
      </w:r>
      <w:r>
        <w:t xml:space="preserve"> </w:t>
      </w:r>
      <w:r>
        <w:t xml:space="preserve">NEP-CE-2024-001</w:t>
      </w:r>
    </w:p>
    <w:p>
      <w:pPr>
        <w:pStyle w:val="BodyText"/>
      </w:pPr>
      <w:r>
        <w:rPr>
          <w:bCs/>
          <w:b/>
        </w:rPr>
        <w:t xml:space="preserve">Location:</w:t>
      </w:r>
      <w:r>
        <w:t xml:space="preserve"> </w:t>
      </w:r>
      <w:r>
        <w:t xml:space="preserve">Kathmandu Valley, Nepal</w:t>
      </w:r>
    </w:p>
    <w:p>
      <w:pPr>
        <w:pStyle w:val="BodyText"/>
      </w:pPr>
      <w:r>
        <w:rPr>
          <w:bCs/>
          <w:b/>
        </w:rPr>
        <w:t xml:space="preserve">Target Audience:</w:t>
      </w:r>
      <w:r>
        <w:t xml:space="preserve"> </w:t>
      </w:r>
      <w:r>
        <w:t xml:space="preserve">Chemical Engineers, Laboratory Technicians, and Environmental Compliance Officers</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is designed specifically for Chemical Engineers operating within the industrial landscape of Nepal Kathmandu. The Kathmandu Valley presents a unique set of environmental and infrastructural challenges, including variable water quality from the Bagmati River basin, fluctuating power supply, and high humidity levels. As a Chemical Engineer in this region, ensuring the purity and suitability of water for industrial processes—such as pharmaceutical manufacturing, textile dyeing, or food processing—is critical for product quality and regulatory compliance.</w:t>
      </w:r>
    </w:p>
    <w:p>
      <w:pPr>
        <w:pStyle w:val="BodyText"/>
      </w:pPr>
      <w:r>
        <w:t xml:space="preserve">This protocol outlines the standard operating procedure (SOP) for analyzing raw water sources to determine their suitability for industrial use. It aligns with the standards set by the Department of Environment (DoE) of Nepal and international best practices adapted for local conditions.</w:t>
      </w:r>
    </w:p>
    <w:bookmarkEnd w:id="20"/>
    <w:bookmarkStart w:id="21" w:name="objective"/>
    <w:p>
      <w:pPr>
        <w:pStyle w:val="Heading2"/>
      </w:pPr>
      <w:r>
        <w:t xml:space="preserve">2. Objective</w:t>
      </w:r>
    </w:p>
    <w:p>
      <w:pPr>
        <w:pStyle w:val="FirstParagraph"/>
      </w:pPr>
      <w:r>
        <w:t xml:space="preserve">The primary objective of this experiment is to quantify key physicochemical parameters of water samples collected from local sources in the Kathmandu Valley. The Chemical Engineer must determine:</w:t>
      </w:r>
    </w:p>
    <w:p>
      <w:pPr>
        <w:numPr>
          <w:ilvl w:val="0"/>
          <w:numId w:val="1001"/>
        </w:numPr>
        <w:pStyle w:val="Compact"/>
      </w:pPr>
      <w:r>
        <w:t xml:space="preserve">pH levels to assess acidity or alkalinity.</w:t>
      </w:r>
    </w:p>
    <w:p>
      <w:pPr>
        <w:numPr>
          <w:ilvl w:val="0"/>
          <w:numId w:val="1001"/>
        </w:numPr>
        <w:pStyle w:val="Compact"/>
      </w:pPr>
      <w:r>
        <w:t xml:space="preserve">Total Dissolved Solids (TDS) to evaluate mineral content.</w:t>
      </w:r>
    </w:p>
    <w:p>
      <w:pPr>
        <w:numPr>
          <w:ilvl w:val="0"/>
          <w:numId w:val="1001"/>
        </w:numPr>
        <w:pStyle w:val="Compact"/>
      </w:pPr>
      <w:r>
        <w:t xml:space="preserve">Hardness (Calcium and Magnesium) to prevent scaling in boilers and heat exchangers.</w:t>
      </w:r>
    </w:p>
    <w:p>
      <w:pPr>
        <w:numPr>
          <w:ilvl w:val="0"/>
          <w:numId w:val="1001"/>
        </w:numPr>
        <w:pStyle w:val="Compact"/>
      </w:pPr>
      <w:r>
        <w:t xml:space="preserve">Chloride and Sulfate concentrations to assess corrosivity.</w:t>
      </w:r>
    </w:p>
    <w:bookmarkEnd w:id="21"/>
    <w:bookmarkStart w:id="22" w:name="safety-precautions"/>
    <w:p>
      <w:pPr>
        <w:pStyle w:val="Heading2"/>
      </w:pPr>
      <w:r>
        <w:t xml:space="preserve">3. Safety Precautions</w:t>
      </w:r>
    </w:p>
    <w:p>
      <w:pPr>
        <w:pStyle w:val="FirstParagraph"/>
      </w:pPr>
      <w:r>
        <w:rPr>
          <w:bCs/>
          <w:b/>
        </w:rPr>
        <w:t xml:space="preserve">WARNING:</w:t>
      </w:r>
      <w:r>
        <w:t xml:space="preserve"> </w:t>
      </w:r>
      <w:r>
        <w:t xml:space="preserve">Strict adherence to safety protocols is mandatory. Nepal Kathmandu laboratories must ensure proper ventilation due to the potential accumulation of fumes in enclosed spaces.</w:t>
      </w:r>
    </w:p>
    <w:p>
      <w:pPr>
        <w:numPr>
          <w:ilvl w:val="0"/>
          <w:numId w:val="1002"/>
        </w:numPr>
        <w:pStyle w:val="Compact"/>
      </w:pPr>
      <w:r>
        <w:rPr>
          <w:bCs/>
          <w:b/>
        </w:rPr>
        <w:t xml:space="preserve">Personal Protective Equipment (PPE):</w:t>
      </w:r>
      <w:r>
        <w:t xml:space="preserve"> </w:t>
      </w:r>
      <w:r>
        <w:t xml:space="preserve">All personnel must wear lab coats, safety goggles, and nitrile gloves.</w:t>
      </w:r>
    </w:p>
    <w:p>
      <w:pPr>
        <w:numPr>
          <w:ilvl w:val="0"/>
          <w:numId w:val="1002"/>
        </w:numPr>
        <w:pStyle w:val="Compact"/>
      </w:pPr>
      <w:r>
        <w:rPr>
          <w:bCs/>
          <w:b/>
        </w:rPr>
        <w:t xml:space="preserve">Chemical Handling:</w:t>
      </w:r>
      <w:r>
        <w:t xml:space="preserve"> </w:t>
      </w:r>
      <w:r>
        <w:t xml:space="preserve">Acids and bases used for titration must be handled in a fume hood. In case of spills, use the designated neutralization kits available in the lab.</w:t>
      </w:r>
    </w:p>
    <w:p>
      <w:pPr>
        <w:numPr>
          <w:ilvl w:val="0"/>
          <w:numId w:val="1002"/>
        </w:numPr>
        <w:pStyle w:val="Compact"/>
      </w:pPr>
      <w:r>
        <w:rPr>
          <w:bCs/>
          <w:b/>
        </w:rPr>
        <w:t xml:space="preserve">Electrical Safety:</w:t>
      </w:r>
      <w:r>
        <w:t xml:space="preserve"> </w:t>
      </w:r>
      <w:r>
        <w:t xml:space="preserve">Given the occasional voltage fluctuations in Kathmandu, ensure all sensitive analytical instruments (pH meters, spectrophotometers) are connected to a reliable voltage stabilizer or UPS.</w:t>
      </w:r>
    </w:p>
    <w:p>
      <w:pPr>
        <w:numPr>
          <w:ilvl w:val="0"/>
          <w:numId w:val="1002"/>
        </w:numPr>
        <w:pStyle w:val="Compact"/>
      </w:pPr>
      <w:r>
        <w:rPr>
          <w:bCs/>
          <w:b/>
        </w:rPr>
        <w:t xml:space="preserve">Waste Disposal:</w:t>
      </w:r>
      <w:r>
        <w:t xml:space="preserve"> </w:t>
      </w:r>
      <w:r>
        <w:t xml:space="preserve">Chemical waste must be segregated and disposed of according to the guidelines provided by the Kathmandu Metropolitan City (KMC) waste management authority.</w:t>
      </w:r>
    </w:p>
    <w:bookmarkEnd w:id="22"/>
    <w:bookmarkStart w:id="23" w:name="materials-and-equipment"/>
    <w:p>
      <w:pPr>
        <w:pStyle w:val="Heading2"/>
      </w:pPr>
      <w:r>
        <w:t xml:space="preserve">4. Materials and Equipment</w:t>
      </w:r>
    </w:p>
    <w:p>
      <w:pPr>
        <w:pStyle w:val="FirstParagraph"/>
      </w:pPr>
      <w:r>
        <w:t xml:space="preserve">The following equipment is required. Chemical Engineers should verify the calibration status of all instruments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pH Meter</w:t>
            </w:r>
          </w:p>
        </w:tc>
        <w:tc>
          <w:tcPr/>
          <w:p>
            <w:pPr>
              <w:pStyle w:val="Compact"/>
              <w:jc w:val="left"/>
            </w:pPr>
            <w:r>
              <w:t xml:space="preserve">Calibrated with pH 4.0, 7.0, and 10.0 buffers</w:t>
            </w:r>
          </w:p>
        </w:tc>
        <w:tc>
          <w:tcPr/>
          <w:p>
            <w:pPr>
              <w:pStyle w:val="Compact"/>
              <w:jc w:val="left"/>
            </w:pPr>
            <w:r>
              <w:t xml:space="preserve">1</w:t>
            </w:r>
          </w:p>
        </w:tc>
      </w:tr>
      <w:tr>
        <w:tc>
          <w:tcPr/>
          <w:p>
            <w:pPr>
              <w:pStyle w:val="Compact"/>
              <w:jc w:val="left"/>
            </w:pPr>
            <w:r>
              <w:t xml:space="preserve">TDS Meter</w:t>
            </w:r>
          </w:p>
        </w:tc>
        <w:tc>
          <w:tcPr/>
          <w:p>
            <w:pPr>
              <w:pStyle w:val="Compact"/>
              <w:jc w:val="left"/>
            </w:pPr>
            <w:r>
              <w:t xml:space="preserve">Conductivity-based, range 0-5000 ppm</w:t>
            </w:r>
          </w:p>
        </w:tc>
        <w:tc>
          <w:tcPr/>
          <w:p>
            <w:pPr>
              <w:pStyle w:val="Compact"/>
              <w:jc w:val="left"/>
            </w:pPr>
            <w:r>
              <w:t xml:space="preserve">1</w:t>
            </w:r>
          </w:p>
        </w:tc>
      </w:tr>
      <w:tr>
        <w:tc>
          <w:tcPr/>
          <w:p>
            <w:pPr>
              <w:pStyle w:val="Compact"/>
              <w:jc w:val="left"/>
            </w:pPr>
            <w:r>
              <w:t xml:space="preserve">Burette</w:t>
            </w:r>
          </w:p>
        </w:tc>
        <w:tc>
          <w:tcPr/>
          <w:p>
            <w:pPr>
              <w:pStyle w:val="Compact"/>
              <w:jc w:val="left"/>
            </w:pPr>
            <w:r>
              <w:t xml:space="preserve">50 mL, Class A</w:t>
            </w:r>
          </w:p>
        </w:tc>
        <w:tc>
          <w:tcPr/>
          <w:p>
            <w:pPr>
              <w:pStyle w:val="Compact"/>
              <w:jc w:val="left"/>
            </w:pPr>
            <w:r>
              <w:t xml:space="preserve">2</w:t>
            </w:r>
          </w:p>
        </w:tc>
      </w:tr>
      <w:tr>
        <w:tc>
          <w:tcPr/>
          <w:p>
            <w:pPr>
              <w:pStyle w:val="Compact"/>
              <w:jc w:val="left"/>
            </w:pPr>
            <w:r>
              <w:t xml:space="preserve">Conical Flasks</w:t>
            </w:r>
          </w:p>
        </w:tc>
        <w:tc>
          <w:tcPr/>
          <w:p>
            <w:pPr>
              <w:pStyle w:val="Compact"/>
              <w:jc w:val="left"/>
            </w:pPr>
            <w:r>
              <w:t xml:space="preserve">250 mL, borosilicate glass</w:t>
            </w:r>
          </w:p>
        </w:tc>
        <w:tc>
          <w:tcPr/>
          <w:p>
            <w:pPr>
              <w:pStyle w:val="Compact"/>
              <w:jc w:val="left"/>
            </w:pPr>
            <w:r>
              <w:t xml:space="preserve">10</w:t>
            </w:r>
          </w:p>
        </w:tc>
      </w:tr>
      <w:tr>
        <w:tc>
          <w:tcPr/>
          <w:p>
            <w:pPr>
              <w:pStyle w:val="Compact"/>
              <w:jc w:val="left"/>
            </w:pPr>
            <w:r>
              <w:t xml:space="preserve">EDTA Solution</w:t>
            </w:r>
          </w:p>
        </w:tc>
        <w:tc>
          <w:tcPr/>
          <w:p>
            <w:pPr>
              <w:pStyle w:val="Compact"/>
              <w:jc w:val="left"/>
            </w:pPr>
            <w:r>
              <w:t xml:space="preserve">0.01 M (for hardness titration)</w:t>
            </w:r>
          </w:p>
        </w:tc>
        <w:tc>
          <w:tcPr/>
          <w:p>
            <w:pPr>
              <w:pStyle w:val="Compact"/>
              <w:jc w:val="left"/>
            </w:pPr>
            <w:r>
              <w:t xml:space="preserve">500 mL</w:t>
            </w:r>
          </w:p>
        </w:tc>
      </w:tr>
      <w:tr>
        <w:tc>
          <w:tcPr/>
          <w:p>
            <w:pPr>
              <w:pStyle w:val="Compact"/>
              <w:jc w:val="left"/>
            </w:pPr>
            <w:r>
              <w:t xml:space="preserve">Ammonia Buffer</w:t>
            </w:r>
          </w:p>
        </w:tc>
        <w:tc>
          <w:tcPr/>
          <w:p>
            <w:pPr>
              <w:pStyle w:val="Compact"/>
              <w:jc w:val="left"/>
            </w:pPr>
            <w:r>
              <w:t xml:space="preserve">pH 10.0</w:t>
            </w:r>
          </w:p>
        </w:tc>
        <w:tc>
          <w:tcPr/>
          <w:p>
            <w:pPr>
              <w:pStyle w:val="Compact"/>
              <w:jc w:val="left"/>
            </w:pPr>
            <w:r>
              <w:t xml:space="preserve">250 mL</w:t>
            </w:r>
          </w:p>
        </w:tc>
      </w:tr>
      <w:tr>
        <w:tc>
          <w:tcPr/>
          <w:p>
            <w:pPr>
              <w:pStyle w:val="Compact"/>
              <w:jc w:val="left"/>
            </w:pPr>
            <w:r>
              <w:t xml:space="preserve">Eriochrome Black T Indicator</w:t>
            </w:r>
          </w:p>
        </w:tc>
        <w:tc>
          <w:tcPr/>
          <w:p>
            <w:pPr>
              <w:pStyle w:val="Compact"/>
              <w:jc w:val="left"/>
            </w:pPr>
            <w:r>
              <w:t xml:space="preserve">Solid or liquid form</w:t>
            </w:r>
          </w:p>
        </w:tc>
        <w:tc>
          <w:tcPr/>
          <w:p>
            <w:pPr>
              <w:pStyle w:val="Compact"/>
              <w:jc w:val="left"/>
            </w:pPr>
            <w:r>
              <w:t xml:space="preserve">1 vial</w:t>
            </w:r>
          </w:p>
        </w:tc>
      </w:tr>
      <w:tr>
        <w:tc>
          <w:tcPr/>
          <w:p>
            <w:pPr>
              <w:pStyle w:val="Compact"/>
              <w:jc w:val="left"/>
            </w:pPr>
            <w:r>
              <w:t xml:space="preserve">Sample Bottles</w:t>
            </w:r>
          </w:p>
        </w:tc>
        <w:tc>
          <w:tcPr/>
          <w:p>
            <w:pPr>
              <w:pStyle w:val="Compact"/>
              <w:jc w:val="left"/>
            </w:pPr>
            <w:r>
              <w:t xml:space="preserve">500 mL, HDPE, clean</w:t>
            </w:r>
          </w:p>
        </w:tc>
        <w:tc>
          <w:tcPr/>
          <w:p>
            <w:pPr>
              <w:pStyle w:val="Compact"/>
              <w:jc w:val="left"/>
            </w:pPr>
            <w:r>
              <w:t xml:space="preserve">5</w:t>
            </w:r>
          </w:p>
        </w:tc>
      </w:tr>
    </w:tbl>
    <w:bookmarkEnd w:id="23"/>
    <w:bookmarkStart w:id="28" w:name="procedure"/>
    <w:p>
      <w:pPr>
        <w:pStyle w:val="Heading2"/>
      </w:pPr>
      <w:r>
        <w:t xml:space="preserve">5. Procedure</w:t>
      </w:r>
    </w:p>
    <w:bookmarkStart w:id="24" w:name="sample-collection"/>
    <w:p>
      <w:pPr>
        <w:pStyle w:val="Heading3"/>
      </w:pPr>
      <w:r>
        <w:t xml:space="preserve">5.1 Sample Collection</w:t>
      </w:r>
    </w:p>
    <w:p>
      <w:pPr>
        <w:pStyle w:val="FirstParagraph"/>
      </w:pPr>
      <w:r>
        <w:t xml:space="preserve">As a Chemical Engineer, you must ensure representative sampling. Collect water samples from the intake point of the industrial facility in Kathmandu. Rinse the sample bottles three times with the source water before filling. Fill bottles to the brim to minimize headspace, cap tightly, and label with date, time, and location. Transport samples in a cooler to maintain a temperature below 4°C if analysis cannot be performed immediately.</w:t>
      </w:r>
    </w:p>
    <w:bookmarkEnd w:id="24"/>
    <w:bookmarkStart w:id="25" w:name="ph-measurement"/>
    <w:p>
      <w:pPr>
        <w:pStyle w:val="Heading3"/>
      </w:pPr>
      <w:r>
        <w:t xml:space="preserve">5.2 pH Measurement</w:t>
      </w:r>
    </w:p>
    <w:p>
      <w:pPr>
        <w:numPr>
          <w:ilvl w:val="0"/>
          <w:numId w:val="1003"/>
        </w:numPr>
        <w:pStyle w:val="Compact"/>
      </w:pPr>
      <w:r>
        <w:t xml:space="preserve">Rinse the pH electrode with distilled water and blot dry with lint-free tissue.</w:t>
      </w:r>
    </w:p>
    <w:p>
      <w:pPr>
        <w:numPr>
          <w:ilvl w:val="0"/>
          <w:numId w:val="1003"/>
        </w:numPr>
        <w:pStyle w:val="Compact"/>
      </w:pPr>
      <w:r>
        <w:t xml:space="preserve">Immerse the electrode in the water sample.</w:t>
      </w:r>
    </w:p>
    <w:p>
      <w:pPr>
        <w:numPr>
          <w:ilvl w:val="0"/>
          <w:numId w:val="1003"/>
        </w:numPr>
        <w:pStyle w:val="Compact"/>
      </w:pPr>
      <w:r>
        <w:t xml:space="preserve">Stir gently and wait for the reading to stabilize.</w:t>
      </w:r>
    </w:p>
    <w:p>
      <w:pPr>
        <w:numPr>
          <w:ilvl w:val="0"/>
          <w:numId w:val="1003"/>
        </w:numPr>
        <w:pStyle w:val="Compact"/>
      </w:pPr>
      <w:r>
        <w:t xml:space="preserve">Record the pH value. For industrial processes in Nepal, a pH range of 6.5 to 8.5 is generally preferred to prevent corrosion.</w:t>
      </w:r>
    </w:p>
    <w:bookmarkEnd w:id="25"/>
    <w:bookmarkStart w:id="26" w:name="total-dissolved-solids-tds-measurement"/>
    <w:p>
      <w:pPr>
        <w:pStyle w:val="Heading3"/>
      </w:pPr>
      <w:r>
        <w:t xml:space="preserve">5.3 Total Dissolved Solids (TDS) Measurement</w:t>
      </w:r>
    </w:p>
    <w:p>
      <w:pPr>
        <w:numPr>
          <w:ilvl w:val="0"/>
          <w:numId w:val="1004"/>
        </w:numPr>
        <w:pStyle w:val="Compact"/>
      </w:pPr>
      <w:r>
        <w:t xml:space="preserve">Rinse the TDS probe with distilled water.</w:t>
      </w:r>
    </w:p>
    <w:p>
      <w:pPr>
        <w:numPr>
          <w:ilvl w:val="0"/>
          <w:numId w:val="1004"/>
        </w:numPr>
        <w:pStyle w:val="Compact"/>
      </w:pPr>
      <w:r>
        <w:t xml:space="preserve">Immerse the probe in the sample.</w:t>
      </w:r>
    </w:p>
    <w:p>
      <w:pPr>
        <w:numPr>
          <w:ilvl w:val="0"/>
          <w:numId w:val="1004"/>
        </w:numPr>
        <w:pStyle w:val="Compact"/>
      </w:pPr>
      <w:r>
        <w:t xml:space="preserve">Record the reading in parts per million (ppm). High TDS levels are common in Kathmandu groundwater and may require reverse osmosis treatment.</w:t>
      </w:r>
    </w:p>
    <w:bookmarkEnd w:id="26"/>
    <w:bookmarkStart w:id="27" w:name="X74630d06a071247b5a886e79eb86ba580a22357"/>
    <w:p>
      <w:pPr>
        <w:pStyle w:val="Heading3"/>
      </w:pPr>
      <w:r>
        <w:t xml:space="preserve">5.4 Water Hardness Determination (EDTA Titration)</w:t>
      </w:r>
    </w:p>
    <w:p>
      <w:pPr>
        <w:numPr>
          <w:ilvl w:val="0"/>
          <w:numId w:val="1005"/>
        </w:numPr>
        <w:pStyle w:val="Compact"/>
      </w:pPr>
      <w:r>
        <w:t xml:space="preserve">Pipette 50 mL of the water sample into a clean conical flask.</w:t>
      </w:r>
    </w:p>
    <w:p>
      <w:pPr>
        <w:numPr>
          <w:ilvl w:val="0"/>
          <w:numId w:val="1005"/>
        </w:numPr>
        <w:pStyle w:val="Compact"/>
      </w:pPr>
      <w:r>
        <w:t xml:space="preserve">Add 1 mL of Ammonia Buffer (pH 10.0) to maintain the pH level.</w:t>
      </w:r>
    </w:p>
    <w:p>
      <w:pPr>
        <w:numPr>
          <w:ilvl w:val="0"/>
          <w:numId w:val="1005"/>
        </w:numPr>
        <w:pStyle w:val="Compact"/>
      </w:pPr>
      <w:r>
        <w:t xml:space="preserve">Add a pinch of Eriochrome Black T indicator. The solution should turn wine-red.</w:t>
      </w:r>
    </w:p>
    <w:p>
      <w:pPr>
        <w:numPr>
          <w:ilvl w:val="0"/>
          <w:numId w:val="1005"/>
        </w:numPr>
        <w:pStyle w:val="Compact"/>
      </w:pPr>
      <w:r>
        <w:t xml:space="preserve">Fill the burette with 0.01 M EDTA solution.</w:t>
      </w:r>
    </w:p>
    <w:p>
      <w:pPr>
        <w:numPr>
          <w:ilvl w:val="0"/>
          <w:numId w:val="1005"/>
        </w:numPr>
        <w:pStyle w:val="Compact"/>
      </w:pPr>
      <w:r>
        <w:t xml:space="preserve">Titrate the sample slowly while swirling the flask until the color changes from wine-red to pure blue.</w:t>
      </w:r>
    </w:p>
    <w:p>
      <w:pPr>
        <w:numPr>
          <w:ilvl w:val="0"/>
          <w:numId w:val="1005"/>
        </w:numPr>
        <w:pStyle w:val="Compact"/>
      </w:pPr>
      <w:r>
        <w:t xml:space="preserve">Record the volume of EDTA used (V).</w:t>
      </w:r>
    </w:p>
    <w:p>
      <w:pPr>
        <w:numPr>
          <w:ilvl w:val="0"/>
          <w:numId w:val="1005"/>
        </w:numPr>
        <w:pStyle w:val="Compact"/>
      </w:pPr>
      <w:r>
        <w:t xml:space="preserve">Calculate Total Hardness using the formula:</w:t>
      </w:r>
      <w:r>
        <w:t xml:space="preserve"> </w:t>
      </w:r>
      <w:r>
        <w:rPr>
          <w:bCs/>
          <w:b/>
        </w:rPr>
        <w:t xml:space="preserve">Hardness (mg/L as CaCO3) = (V × N × 1000) / Volume of Sample (mL)</w:t>
      </w:r>
      <w:r>
        <w:t xml:space="preserve">, where N is the normality of EDTA.</w:t>
      </w:r>
    </w:p>
    <w:bookmarkEnd w:id="27"/>
    <w:bookmarkEnd w:id="28"/>
    <w:bookmarkStart w:id="29" w:name="data-analysis-and-reporting"/>
    <w:p>
      <w:pPr>
        <w:pStyle w:val="Heading2"/>
      </w:pPr>
      <w:r>
        <w:t xml:space="preserve">6. Data Analysis and Reporting</w:t>
      </w:r>
    </w:p>
    <w:p>
      <w:pPr>
        <w:pStyle w:val="FirstParagraph"/>
      </w:pPr>
      <w:r>
        <w:t xml:space="preserve">The Chemical Engineer must compile the results into a formal report. Compare the obtained values with the Nepal Drinking Water Quality Standards (NDWQS) and specific industrial requirements. If hardness exceeds 300 mg/L, recommend water softening treatments such as ion exchange or lime-soda process. If pH is outside the acceptable range, suggest neutralization strategies.</w:t>
      </w:r>
    </w:p>
    <w:p>
      <w:pPr>
        <w:pStyle w:val="BodyText"/>
      </w:pPr>
      <w:r>
        <w:t xml:space="preserve">It is crucial to document any anomalies, such as unusual turbidity or odor, which may indicate contamination from agricultural runoff or industrial effluents common in the Kathmandu Valley.</w:t>
      </w:r>
    </w:p>
    <w:bookmarkEnd w:id="29"/>
    <w:bookmarkStart w:id="30" w:name="conclusion"/>
    <w:p>
      <w:pPr>
        <w:pStyle w:val="Heading2"/>
      </w:pPr>
      <w:r>
        <w:t xml:space="preserve">7. Conclusion</w:t>
      </w:r>
    </w:p>
    <w:p>
      <w:pPr>
        <w:pStyle w:val="FirstParagraph"/>
      </w:pPr>
      <w:r>
        <w:t xml:space="preserve">This Experiment Protocol provides a robust framework for Chemical Engineers in Nepal Kathmandu to assess water quality effectively. By following these steps, engineers can ensure process efficiency, equipment longevity, and environmental compliance. Regular monitoring is essential due to the dynamic nature of water sources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Quality Analysis for Industrial Applications</dc:title>
  <dc:creator/>
  <dc:language>en</dc:language>
  <cp:keywords/>
  <dcterms:created xsi:type="dcterms:W3CDTF">2026-10-10T05:07:18Z</dcterms:created>
  <dcterms:modified xsi:type="dcterms:W3CDTF">2026-10-10T05:07:18Z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