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10,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safety measures, and objectives for conducting chemical engineering experiments in the Netherlands Amsterdam region. The protocol is designed to ensure compliance with local regulations, maintain high safety standards, and achieve accurate and reproducible results. It is intended for use by Chemical Engineers working in laboratories, industrial facilities, or research institutions in Amsterdam.</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efficiency of a new catalytic process for reducing greenhouse gas emissions.</w:t>
      </w:r>
    </w:p>
    <w:p>
      <w:pPr>
        <w:numPr>
          <w:ilvl w:val="0"/>
          <w:numId w:val="1001"/>
        </w:numPr>
        <w:pStyle w:val="Compact"/>
      </w:pPr>
      <w:r>
        <w:t xml:space="preserve">To analyze the impact of varying temperature and pressure conditions on reaction rates.</w:t>
      </w:r>
    </w:p>
    <w:p>
      <w:pPr>
        <w:numPr>
          <w:ilvl w:val="0"/>
          <w:numId w:val="1001"/>
        </w:numPr>
        <w:pStyle w:val="Compact"/>
      </w:pPr>
      <w:r>
        <w:t xml:space="preserve">To ensure adherence to environmental and safety regulations specific to the Netherlands Amsterdam area.</w:t>
      </w:r>
    </w:p>
    <w:p>
      <w:pPr>
        <w:pStyle w:val="FirstParagraph"/>
      </w:pPr>
      <w:r>
        <w:t xml:space="preserve">3. Scope</w:t>
      </w:r>
    </w:p>
    <w:p>
      <w:pPr>
        <w:pStyle w:val="BodyText"/>
      </w:pPr>
      <w:r>
        <w:t xml:space="preserve">This protocol applies to all Chemical Engineers and supporting staff involved in the experiment. It covers the preparation, execution, monitoring, and reporting phases of the experiment. The scope includes all activities conducted within the designated laboratory or facility in Amsterdam.</w:t>
      </w:r>
    </w:p>
    <w:p>
      <w:pPr>
        <w:pStyle w:val="BodyText"/>
      </w:pPr>
      <w:r>
        <w:t xml:space="preserve">4. Regulatory Compliance</w:t>
      </w:r>
    </w:p>
    <w:p>
      <w:pPr>
        <w:pStyle w:val="BodyText"/>
      </w:pPr>
      <w:r>
        <w:t xml:space="preserve">All experiments must comply with the following regulations:</w:t>
      </w:r>
    </w:p>
    <w:p>
      <w:pPr>
        <w:numPr>
          <w:ilvl w:val="0"/>
          <w:numId w:val="1002"/>
        </w:numPr>
        <w:pStyle w:val="Compact"/>
      </w:pPr>
      <w:r>
        <w:t xml:space="preserve">Dutch Environmental Management Act (Wet milieubeheer)</w:t>
      </w:r>
    </w:p>
    <w:p>
      <w:pPr>
        <w:numPr>
          <w:ilvl w:val="0"/>
          <w:numId w:val="1002"/>
        </w:numPr>
        <w:pStyle w:val="Compact"/>
      </w:pPr>
      <w:r>
        <w:t xml:space="preserve">European REACH Regulation</w:t>
      </w:r>
    </w:p>
    <w:p>
      <w:pPr>
        <w:numPr>
          <w:ilvl w:val="0"/>
          <w:numId w:val="1002"/>
        </w:numPr>
        <w:pStyle w:val="Compact"/>
      </w:pPr>
      <w:r>
        <w:t xml:space="preserve">Local Amsterdam safety and environmental guidelines</w:t>
      </w:r>
    </w:p>
    <w:p>
      <w:pPr>
        <w:pStyle w:val="FirstParagraph"/>
      </w:pPr>
      <w:r>
        <w:t xml:space="preserve">Chemical Engineers are responsible for ensuring that all materials, processes, and waste disposal methods meet these regulatory requirements.</w:t>
      </w:r>
    </w:p>
    <w:p>
      <w:pPr>
        <w:pStyle w:val="BodyText"/>
      </w:pPr>
      <w:r>
        <w:t xml:space="preserve">5.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Catalyst</w:t>
            </w:r>
          </w:p>
        </w:tc>
        <w:tc>
          <w:tcPr/>
          <w:p>
            <w:pPr>
              <w:pStyle w:val="Compact"/>
              <w:jc w:val="left"/>
            </w:pPr>
            <w:r>
              <w:t xml:space="preserve">500g</w:t>
            </w:r>
          </w:p>
        </w:tc>
        <w:tc>
          <w:tcPr/>
          <w:p>
            <w:pPr>
              <w:pStyle w:val="Compact"/>
              <w:jc w:val="left"/>
            </w:pPr>
            <w:r>
              <w:t xml:space="preserve">Pure, certified grade</w:t>
            </w:r>
          </w:p>
        </w:tc>
      </w:tr>
      <w:tr>
        <w:tc>
          <w:tcPr/>
          <w:p>
            <w:pPr>
              <w:pStyle w:val="Compact"/>
              <w:jc w:val="left"/>
            </w:pPr>
            <w:r>
              <w:t xml:space="preserve">Reactants</w:t>
            </w:r>
          </w:p>
        </w:tc>
        <w:tc>
          <w:tcPr/>
          <w:p>
            <w:pPr>
              <w:pStyle w:val="Compact"/>
              <w:jc w:val="left"/>
            </w:pPr>
            <w:r>
              <w:t xml:space="preserve">As per stoichiometry</w:t>
            </w:r>
          </w:p>
        </w:tc>
        <w:tc>
          <w:tcPr/>
          <w:p>
            <w:pPr>
              <w:pStyle w:val="Compact"/>
              <w:jc w:val="left"/>
            </w:pPr>
            <w:r>
              <w:t xml:space="preserve">High purity, stored in appropriate containers</w:t>
            </w:r>
          </w:p>
        </w:tc>
      </w:tr>
      <w:tr>
        <w:tc>
          <w:tcPr/>
          <w:p>
            <w:pPr>
              <w:pStyle w:val="Compact"/>
              <w:jc w:val="left"/>
            </w:pPr>
            <w:r>
              <w:t xml:space="preserve">Reaction Vessel</w:t>
            </w:r>
          </w:p>
        </w:tc>
        <w:tc>
          <w:tcPr/>
          <w:p>
            <w:pPr>
              <w:pStyle w:val="Compact"/>
              <w:jc w:val="left"/>
            </w:pPr>
            <w:r>
              <w:t xml:space="preserve">1</w:t>
            </w:r>
          </w:p>
        </w:tc>
        <w:tc>
          <w:tcPr/>
          <w:p>
            <w:pPr>
              <w:pStyle w:val="Compact"/>
              <w:jc w:val="left"/>
            </w:pPr>
            <w:r>
              <w:t xml:space="preserve">Stainless steel, pressure-rated</w:t>
            </w:r>
          </w:p>
        </w:tc>
      </w:tr>
      <w:tr>
        <w:tc>
          <w:tcPr/>
          <w:p>
            <w:pPr>
              <w:pStyle w:val="Compact"/>
              <w:jc w:val="left"/>
            </w:pPr>
            <w:r>
              <w:t xml:space="preserve">Temperature Controller</w:t>
            </w:r>
          </w:p>
        </w:tc>
        <w:tc>
          <w:tcPr/>
          <w:p>
            <w:pPr>
              <w:pStyle w:val="Compact"/>
              <w:jc w:val="left"/>
            </w:pPr>
            <w:r>
              <w:t xml:space="preserve">1</w:t>
            </w:r>
          </w:p>
        </w:tc>
        <w:tc>
          <w:tcPr/>
          <w:p>
            <w:pPr>
              <w:pStyle w:val="Compact"/>
              <w:jc w:val="left"/>
            </w:pPr>
            <w:r>
              <w:t xml:space="preserve">Accuracy ±1°C</w:t>
            </w:r>
          </w:p>
        </w:tc>
      </w:tr>
      <w:tr>
        <w:tc>
          <w:tcPr/>
          <w:p>
            <w:pPr>
              <w:pStyle w:val="Compact"/>
              <w:jc w:val="left"/>
            </w:pPr>
            <w:r>
              <w:t xml:space="preserve">Pressure Gauge</w:t>
            </w:r>
          </w:p>
        </w:tc>
        <w:tc>
          <w:tcPr/>
          <w:p>
            <w:pPr>
              <w:pStyle w:val="Compact"/>
              <w:jc w:val="left"/>
            </w:pPr>
            <w:r>
              <w:t xml:space="preserve">1</w:t>
            </w:r>
          </w:p>
        </w:tc>
        <w:tc>
          <w:tcPr/>
          <w:p>
            <w:pPr>
              <w:pStyle w:val="Compact"/>
              <w:jc w:val="left"/>
            </w:pPr>
            <w:r>
              <w:t xml:space="preserve">Range 0-10 bar</w:t>
            </w:r>
          </w:p>
        </w:tc>
      </w:tr>
      <w:tr>
        <w:tc>
          <w:tcPr/>
          <w:p>
            <w:pPr>
              <w:pStyle w:val="Compact"/>
              <w:jc w:val="left"/>
            </w:pPr>
            <w:r>
              <w:t xml:space="preserve">Safety Equipment</w:t>
            </w:r>
          </w:p>
        </w:tc>
        <w:tc>
          <w:tcPr/>
          <w:p>
            <w:pPr>
              <w:pStyle w:val="Compact"/>
              <w:jc w:val="left"/>
            </w:pPr>
            <w:r>
              <w:t xml:space="preserve">As required</w:t>
            </w:r>
          </w:p>
        </w:tc>
        <w:tc>
          <w:tcPr/>
          <w:p>
            <w:pPr>
              <w:pStyle w:val="Compact"/>
              <w:jc w:val="left"/>
            </w:pPr>
            <w:r>
              <w:t xml:space="preserve">PPE, fire extinguishers, spill kits</w:t>
            </w:r>
          </w:p>
        </w:tc>
      </w:tr>
    </w:tbl>
    <w:p>
      <w:pPr>
        <w:pStyle w:val="BodyText"/>
      </w:pPr>
      <w:r>
        <w:t xml:space="preserve">6. Procedure</w:t>
      </w:r>
    </w:p>
    <w:p>
      <w:pPr>
        <w:pStyle w:val="BodyText"/>
      </w:pPr>
      <w:r>
        <w:t xml:space="preserve">The experiment will be conducted in the following steps:</w:t>
      </w:r>
    </w:p>
    <w:p>
      <w:pPr>
        <w:numPr>
          <w:ilvl w:val="0"/>
          <w:numId w:val="1003"/>
        </w:numPr>
        <w:pStyle w:val="Compact"/>
      </w:pPr>
      <w:r>
        <w:rPr>
          <w:bCs/>
          <w:b/>
        </w:rPr>
        <w:t xml:space="preserve">Preparation:</w:t>
      </w:r>
      <w:r>
        <w:t xml:space="preserve"> </w:t>
      </w:r>
      <w:r>
        <w:t xml:space="preserve">Ensure all equipment is calibrated and in good working condition. Verify that all materials are correctly labeled and stored.</w:t>
      </w:r>
    </w:p>
    <w:p>
      <w:pPr>
        <w:numPr>
          <w:ilvl w:val="0"/>
          <w:numId w:val="1003"/>
        </w:numPr>
        <w:pStyle w:val="Compact"/>
      </w:pPr>
      <w:r>
        <w:rPr>
          <w:bCs/>
          <w:b/>
        </w:rPr>
        <w:t xml:space="preserve">Setup:</w:t>
      </w:r>
      <w:r>
        <w:t xml:space="preserve"> </w:t>
      </w:r>
      <w:r>
        <w:t xml:space="preserve">Assemble the reaction vessel and connect all necessary instruments. Check for leaks and ensure proper sealing.</w:t>
      </w:r>
    </w:p>
    <w:p>
      <w:pPr>
        <w:numPr>
          <w:ilvl w:val="0"/>
          <w:numId w:val="1003"/>
        </w:numPr>
        <w:pStyle w:val="Compact"/>
      </w:pPr>
      <w:r>
        <w:rPr>
          <w:bCs/>
          <w:b/>
        </w:rPr>
        <w:t xml:space="preserve">Charging:</w:t>
      </w:r>
      <w:r>
        <w:t xml:space="preserve"> </w:t>
      </w:r>
      <w:r>
        <w:t xml:space="preserve">Add the catalyst and reactants to the vessel according to the specified stoichiometry.</w:t>
      </w:r>
    </w:p>
    <w:p>
      <w:pPr>
        <w:numPr>
          <w:ilvl w:val="0"/>
          <w:numId w:val="1003"/>
        </w:numPr>
        <w:pStyle w:val="Compact"/>
      </w:pPr>
      <w:r>
        <w:rPr>
          <w:bCs/>
          <w:b/>
        </w:rPr>
        <w:t xml:space="preserve">Reaction:</w:t>
      </w:r>
      <w:r>
        <w:t xml:space="preserve"> </w:t>
      </w:r>
      <w:r>
        <w:t xml:space="preserve">Initiate the reaction by adjusting the temperature and pressure to the desired conditions. Monitor the reaction closely using the temperature controller and pressure gauge.</w:t>
      </w:r>
    </w:p>
    <w:p>
      <w:pPr>
        <w:numPr>
          <w:ilvl w:val="0"/>
          <w:numId w:val="1003"/>
        </w:numPr>
        <w:pStyle w:val="Compact"/>
      </w:pPr>
      <w:r>
        <w:rPr>
          <w:bCs/>
          <w:b/>
        </w:rPr>
        <w:t xml:space="preserve">Data Collection:</w:t>
      </w:r>
      <w:r>
        <w:t xml:space="preserve"> </w:t>
      </w:r>
      <w:r>
        <w:t xml:space="preserve">Record all relevant data, including temperature, pressure, reaction time, and product yield.</w:t>
      </w:r>
    </w:p>
    <w:p>
      <w:pPr>
        <w:numPr>
          <w:ilvl w:val="0"/>
          <w:numId w:val="1003"/>
        </w:numPr>
        <w:pStyle w:val="Compact"/>
      </w:pPr>
      <w:r>
        <w:rPr>
          <w:bCs/>
          <w:b/>
        </w:rPr>
        <w:t xml:space="preserve">Termination:</w:t>
      </w:r>
      <w:r>
        <w:t xml:space="preserve"> </w:t>
      </w:r>
      <w:r>
        <w:t xml:space="preserve">Once the reaction is complete, safely cool down the vessel and release any remaining pressure.</w:t>
      </w:r>
    </w:p>
    <w:p>
      <w:pPr>
        <w:numPr>
          <w:ilvl w:val="0"/>
          <w:numId w:val="1003"/>
        </w:numPr>
        <w:pStyle w:val="Compact"/>
      </w:pPr>
      <w:r>
        <w:rPr>
          <w:bCs/>
          <w:b/>
        </w:rPr>
        <w:t xml:space="preserve">Cleanup:</w:t>
      </w:r>
      <w:r>
        <w:t xml:space="preserve"> </w:t>
      </w:r>
      <w:r>
        <w:t xml:space="preserve">Dispose of all waste materials in accordance with local regulations. Clean and store all equipment properly.</w:t>
      </w:r>
    </w:p>
    <w:p>
      <w:pPr>
        <w:pStyle w:val="FirstParagraph"/>
      </w:pPr>
      <w:r>
        <w:t xml:space="preserve">7. Safety Measures</w:t>
      </w:r>
    </w:p>
    <w:p>
      <w:pPr>
        <w:pStyle w:val="BodyText"/>
      </w:pPr>
      <w:r>
        <w:t xml:space="preserve">The following safety measures must be strictly followed:</w:t>
      </w:r>
    </w:p>
    <w:p>
      <w:pPr>
        <w:numPr>
          <w:ilvl w:val="0"/>
          <w:numId w:val="1004"/>
        </w:numPr>
        <w:pStyle w:val="Compact"/>
      </w:pPr>
      <w:r>
        <w:t xml:space="preserve">Wear appropriate personal protective equipment (PPE) at all times, including lab coats, gloves, and safety goggles.</w:t>
      </w:r>
    </w:p>
    <w:p>
      <w:pPr>
        <w:numPr>
          <w:ilvl w:val="0"/>
          <w:numId w:val="1004"/>
        </w:numPr>
        <w:pStyle w:val="Compact"/>
      </w:pPr>
      <w:r>
        <w:t xml:space="preserve">Ensure that all chemical handling is done in a well-ventilated area or fume hood.</w:t>
      </w:r>
    </w:p>
    <w:p>
      <w:pPr>
        <w:numPr>
          <w:ilvl w:val="0"/>
          <w:numId w:val="1004"/>
        </w:numPr>
        <w:pStyle w:val="Compact"/>
      </w:pPr>
      <w:r>
        <w:t xml:space="preserve">Have emergency equipment, such as fire extinguishers and eyewash stations, readily accessible.</w:t>
      </w:r>
    </w:p>
    <w:p>
      <w:pPr>
        <w:numPr>
          <w:ilvl w:val="0"/>
          <w:numId w:val="1004"/>
        </w:numPr>
        <w:pStyle w:val="Compact"/>
      </w:pPr>
      <w:r>
        <w:t xml:space="preserve">Conduct a risk assessment before starting the experiment and identify potential hazards.</w:t>
      </w:r>
    </w:p>
    <w:p>
      <w:pPr>
        <w:numPr>
          <w:ilvl w:val="0"/>
          <w:numId w:val="1004"/>
        </w:numPr>
        <w:pStyle w:val="Compact"/>
      </w:pPr>
      <w:r>
        <w:t xml:space="preserve">Follow all emergency procedures in case of spills, leaks, or other incidents.</w:t>
      </w:r>
    </w:p>
    <w:p>
      <w:pPr>
        <w:pStyle w:val="FirstParagraph"/>
      </w:pPr>
      <w:r>
        <w:t xml:space="preserve">8. Data Analysis and Reporting</w:t>
      </w:r>
    </w:p>
    <w:p>
      <w:pPr>
        <w:pStyle w:val="BodyText"/>
      </w:pPr>
      <w:r>
        <w:t xml:space="preserve">After the experiment, all data will be analyzed to determine the efficiency of the catalytic process and the impact of varying conditions on reaction rates. A detailed report will be prepared, including:</w:t>
      </w:r>
    </w:p>
    <w:p>
      <w:pPr>
        <w:numPr>
          <w:ilvl w:val="0"/>
          <w:numId w:val="1005"/>
        </w:numPr>
        <w:pStyle w:val="Compact"/>
      </w:pPr>
      <w:r>
        <w:t xml:space="preserve">Summary of experimental conditions and results</w:t>
      </w:r>
    </w:p>
    <w:p>
      <w:pPr>
        <w:numPr>
          <w:ilvl w:val="0"/>
          <w:numId w:val="1005"/>
        </w:numPr>
        <w:pStyle w:val="Compact"/>
      </w:pPr>
      <w:r>
        <w:t xml:space="preserve">Analysis of data trends and anomalies</w:t>
      </w:r>
    </w:p>
    <w:p>
      <w:pPr>
        <w:numPr>
          <w:ilvl w:val="0"/>
          <w:numId w:val="1005"/>
        </w:numPr>
        <w:pStyle w:val="Compact"/>
      </w:pPr>
      <w:r>
        <w:t xml:space="preserve">Comparison with theoretical predictions</w:t>
      </w:r>
    </w:p>
    <w:p>
      <w:pPr>
        <w:numPr>
          <w:ilvl w:val="0"/>
          <w:numId w:val="1005"/>
        </w:numPr>
        <w:pStyle w:val="Compact"/>
      </w:pPr>
      <w:r>
        <w:t xml:space="preserve">Recommendations for future experiments</w:t>
      </w:r>
    </w:p>
    <w:p>
      <w:pPr>
        <w:pStyle w:val="FirstParagraph"/>
      </w:pPr>
      <w:r>
        <w:t xml:space="preserve">The report will be submitted to the relevant stakeholders and stored in accordance with data management policies.</w:t>
      </w:r>
    </w:p>
    <w:p>
      <w:pPr>
        <w:pStyle w:val="BodyText"/>
      </w:pPr>
      <w:r>
        <w:t xml:space="preserve">9. Conclusion</w:t>
      </w:r>
    </w:p>
    <w:p>
      <w:pPr>
        <w:pStyle w:val="BodyText"/>
      </w:pPr>
      <w:r>
        <w:t xml:space="preserve">This Experiment Protocol provides a comprehensive framework for conducting chemical engineering experiments in the Netherlands Amsterdam region. By following these guidelines, Chemical Engineers can ensure the safety, accuracy, and regulatory compliance of their work. Continuous improvement and adherence to best practices are essential for achieving successful outcomes.</w:t>
      </w:r>
    </w:p>
    <w:p>
      <w:pPr>
        <w:pStyle w:val="BodyText"/>
      </w:pPr>
      <w:r>
        <w:t xml:space="preserve">Document Control: This document is the property of [Organization Name]. Unauthorized reproduction or distribution is prohibited.</w:t>
      </w:r>
    </w:p>
    <w:p>
      <w:pPr>
        <w:pStyle w:val="BodyText"/>
      </w:pPr>
      <w:r>
        <w:t xml:space="preserve">For questions or clarifications, contact the Chemical Engineering Department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Netherlands Amsterdam</dc:title>
  <dc:creator/>
  <dc:language>en</dc:language>
  <cp:keywords/>
  <dcterms:created xsi:type="dcterms:W3CDTF">2026-10-10T06:18:35Z</dcterms:created>
  <dcterms:modified xsi:type="dcterms:W3CDTF">2026-10-10T06:18:35Z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